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word/header1.xml" ContentType="application/vnd.openxmlformats-officedocument.wordprocessingml.header+xml"/>
  <Override PartName="/word/numbering.xml" ContentType="application/vnd.openxmlformats-officedocument.wordprocessingml.numbering+xml"/>
  <Override PartName="/word/footer2.xml" ContentType="application/vnd.openxmlformats-officedocument.wordprocessingml.footer+xml"/>
  <Override PartName="/word/settings.xml" ContentType="application/vnd.openxmlformats-officedocument.wordprocessingml.settings+xml"/>
  <Override PartName="/docProps/custom.xml" ContentType="application/vnd.openxmlformats-officedocument.custom-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body>
    <w:p>
      <w:pPr>
        <w:pStyle w:val="style0"/>
        <w:spacing w:after="200" w:lineRule="auto" w:line="360"/>
        <w:jc w:val="left"/>
        <w:rPr>
          <w:rFonts w:ascii="Times New Roman" w:cs="Times New Roman" w:eastAsia="Times New Roman" w:hAnsi="Times New Roman"/>
          <w:b/>
          <w:color w:val="365f91"/>
          <w:sz w:val="36"/>
          <w:szCs w:val="36"/>
        </w:rPr>
      </w:pPr>
      <w:bookmarkStart w:id="0" w:name="_72emq7vblqcx"/>
      <w:bookmarkEnd w:id="0"/>
      <w:r>
        <w:rPr>
          <w:rFonts w:ascii="Times New Roman" w:cs="Times New Roman" w:eastAsia="Times New Roman" w:hAnsi="Times New Roman"/>
          <w:b/>
          <w:color w:val="365f91"/>
          <w:sz w:val="36"/>
          <w:szCs w:val="36"/>
          <w:lang w:val="en-US"/>
        </w:rPr>
        <w:t>Cloud-Based Machine Learning for Early Prediction of Maternal Sepsis Using RDW and NLR Biomarkers in Conflict-Affected Settings</w:t>
      </w:r>
    </w:p>
    <w:p>
      <w:pPr>
        <w:pStyle w:val="style0"/>
        <w:spacing w:after="200" w:lineRule="auto" w:line="360"/>
        <w:jc w:val="left"/>
        <w:rPr>
          <w:rFonts w:ascii="Times New Roman" w:cs="Times New Roman" w:eastAsia="Times New Roman" w:hAnsi="Times New Roman"/>
          <w:b/>
          <w:bCs/>
          <w:i w:val="false"/>
          <w:color w:val="000000"/>
          <w:sz w:val="24"/>
          <w:szCs w:val="24"/>
          <w:shd w:val="clear" w:color="auto" w:fill="auto"/>
          <w:vertAlign w:val="baseline"/>
          <w:lang w:val="en-US"/>
        </w:rPr>
      </w:pPr>
    </w:p>
    <w:p>
      <w:pPr>
        <w:pStyle w:val="style0"/>
        <w:spacing w:after="200" w:lineRule="auto" w:line="360"/>
        <w:jc w:val="left"/>
        <w:rPr>
          <w:rFonts w:ascii="Times New Roman" w:cs="Times New Roman" w:eastAsia="Times New Roman" w:hAnsi="Times New Roman"/>
          <w:b/>
          <w:bCs/>
          <w:i w:val="false"/>
          <w:color w:val="000000"/>
          <w:sz w:val="24"/>
          <w:szCs w:val="24"/>
          <w:shd w:val="clear" w:color="auto" w:fill="auto"/>
          <w:vertAlign w:val="baseline"/>
        </w:rPr>
      </w:pPr>
      <w:r>
        <w:rPr>
          <w:rFonts w:ascii="Times New Roman" w:cs="Times New Roman" w:eastAsia="Times New Roman" w:hAnsi="Times New Roman"/>
          <w:b/>
          <w:bCs/>
          <w:i w:val="false"/>
          <w:color w:val="000000"/>
          <w:sz w:val="24"/>
          <w:szCs w:val="24"/>
          <w:shd w:val="clear" w:color="auto" w:fill="auto"/>
          <w:vertAlign w:val="baseline"/>
          <w:lang w:val="en-US"/>
        </w:rPr>
        <w:t>Correspondence to:</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 xml:space="preserve">Naif Taleb Ali¹ ² (Corresponding Author)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 xml:space="preserve">Email: n.taleb@ust.edu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 xml:space="preserve">ORCID: 0000-0002-2266-1569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 xml:space="preserve">Hana Ali³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bCs/>
          <w:i w:val="false"/>
          <w:color w:val="000000"/>
          <w:sz w:val="24"/>
          <w:szCs w:val="24"/>
          <w:shd w:val="clear" w:color="auto" w:fill="auto"/>
          <w:vertAlign w:val="baseline"/>
          <w:lang w:val="en-US"/>
        </w:rPr>
        <w:t>Affiliations:</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 xml:space="preserve">¹Department of Medical Laboratory, Radfan University College, University of Lahej, Al-Houta, Yemen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²Department of Health Sciences, Faculty of Medicine and Health Sciences, University of Science and Technology, Aden, Yemen.</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³Aden Gulf International University, Al-Dale'a, Yemen</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32"/>
          <w:szCs w:val="32"/>
        </w:rPr>
        <w:t>Abstract</w:t>
      </w:r>
      <w:r>
        <w:rPr>
          <w:rFonts w:ascii="Times New Roman" w:cs="Times New Roman" w:eastAsia="Times New Roman" w:hAnsi="Times New Roman"/>
          <w:i w:val="false"/>
          <w:color w:val="000000"/>
          <w:sz w:val="24"/>
          <w:szCs w:val="24"/>
          <w:shd w:val="clear" w:color="auto" w:fill="auto"/>
          <w:vertAlign w:val="baseline"/>
        </w:rPr>
        <w:t xml:space="preserve">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rPr>
        <w:t>Background</w:t>
      </w:r>
      <w:r>
        <w:rPr>
          <w:rFonts w:ascii="Times New Roman" w:cs="Times New Roman" w:eastAsia="Times New Roman" w:hAnsi="Times New Roman"/>
          <w:i w:val="false"/>
          <w:color w:val="000000"/>
          <w:sz w:val="24"/>
          <w:szCs w:val="24"/>
          <w:shd w:val="clear" w:color="auto" w:fill="auto"/>
          <w:vertAlign w:val="baseline"/>
        </w:rPr>
        <w:t xml:space="preserve">  </w:t>
      </w:r>
    </w:p>
    <w:p>
      <w:pPr>
        <w:pStyle w:val="style0"/>
        <w:spacing w:after="200"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i w:val="false"/>
          <w:color w:val="000000"/>
          <w:sz w:val="24"/>
          <w:szCs w:val="24"/>
          <w:shd w:val="clear" w:color="auto" w:fill="auto"/>
          <w:vertAlign w:val="baseline"/>
        </w:rPr>
        <w:t>Conflict-affected regions face catastrophic maternal mortality due to limited diagnostic resources. Routine hematological biomarkers such as Red Cell Distribution Width (RDW) and Neutrophil-to-Lymphocyte Ratio (NLR) offer low-cost options for early risk stratification.</w:t>
      </w:r>
    </w:p>
    <w:p>
      <w:pPr>
        <w:pStyle w:val="style0"/>
        <w:spacing w:after="200"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b/>
          <w:color w:val="365f91"/>
          <w:sz w:val="28"/>
          <w:szCs w:val="28"/>
          <w:lang w:val="en-US"/>
        </w:rPr>
        <w:t>Objective:</w:t>
      </w:r>
    </w:p>
    <w:p>
      <w:pPr>
        <w:pStyle w:val="style0"/>
        <w:spacing w:after="200" w:lineRule="auto" w:line="360"/>
        <w:jc w:val="left"/>
        <w:rPr>
          <w:rFonts w:ascii="Times New Roman" w:cs="Times New Roman" w:eastAsia="Times New Roman" w:hAnsi="Times New Roman"/>
          <w:b w:val="false"/>
          <w:bCs w:val="false"/>
          <w:color w:val="365f91"/>
          <w:sz w:val="24"/>
          <w:szCs w:val="24"/>
          <w:lang w:val="en-US"/>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We developed a cloud-based machine learning (ML) pipeline to predict maternal sepsis and complications using RDW and NLR, leveraging data from 51 studies encompassing 20,254 women in low- and middle-income countries (68% from conflict zones).</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lang w:val="en-US"/>
        </w:rPr>
        <w:t>Methods</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Data were extracted systematically from 11 databases (2000–2025) following PRISMA-DTA guidelines and registered in PROSPERO (CRD420251102517). ML algorithms (Random Forest, XGBoost, SVM) were trained on RDW/NLR measurements, with evaluation via AUROC, sensitivity, specificity, and F1-score. The cloud-based platform enabled scalable, real-time processing.</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rPr>
        <w:t>Results</w:t>
      </w:r>
      <w:r>
        <w:rPr>
          <w:rFonts w:ascii="Times New Roman" w:cs="Times New Roman" w:eastAsia="Times New Roman" w:hAnsi="Times New Roman"/>
          <w:i w:val="false"/>
          <w:color w:val="000000"/>
          <w:sz w:val="24"/>
          <w:szCs w:val="24"/>
          <w:shd w:val="clear" w:color="auto" w:fill="auto"/>
          <w:vertAlign w:val="baseline"/>
        </w:rPr>
        <w:t xml:space="preserve">  </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RDW &gt; 14.2%: Sensitivity 78.5%, Specificity 86.1%, AUC 0.84</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NLR &gt; 4.6: Sensitivity 77.2%, Specificity 83.8%, AUC 0.82</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Combined RDW/NLR: AUC 0.88 (95% CI 0.85–0.91)</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Conflict-specific cutoffs: RDW &gt; 14.8%, NLR &gt; 5.1 maintained robust performance (AUC 0.83–0.86)</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Cloud-based ML pipeline processed &gt;20,000 records efficiently, enabling early detection within hours of symptom onset.</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rPr>
        <w:t>Conclusions</w:t>
      </w:r>
      <w:r>
        <w:rPr>
          <w:rFonts w:ascii="Times New Roman" w:cs="Times New Roman" w:eastAsia="Times New Roman" w:hAnsi="Times New Roman"/>
          <w:i w:val="false"/>
          <w:color w:val="000000"/>
          <w:sz w:val="24"/>
          <w:szCs w:val="24"/>
          <w:shd w:val="clear" w:color="auto" w:fill="auto"/>
          <w:vertAlign w:val="baseline"/>
        </w:rPr>
        <w:t xml:space="preserve">  </w:t>
      </w:r>
    </w:p>
    <w:p>
      <w:pPr>
        <w:pStyle w:val="style0"/>
        <w:numPr>
          <w:ilvl w:val="0"/>
          <w:numId w:val="0"/>
        </w:numPr>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hint="default"/>
          <w:b w:val="false"/>
          <w:bCs w:val="false"/>
          <w:i w:val="false"/>
          <w:iCs w:val="false"/>
          <w:color w:val="000000"/>
          <w:sz w:val="24"/>
          <w:szCs w:val="24"/>
          <w:highlight w:val="none"/>
          <w:shd w:val="clear" w:color="ffffff" w:fill="auto"/>
          <w:vertAlign w:val="baseline"/>
          <w:em w:val="none"/>
          <w:lang w:val="en-US"/>
        </w:rPr>
        <w:t>Integrating RDW and NLR with cloud-based ML enables rapid, low-cost maternal sepsis prediction in humanitarian settings. The dual-biomarker approach maximizes accuracy, supports frontline community health workers, and has the potential to reduce preventable maternal mortality.</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rPr>
        <w:t>Keywords</w:t>
      </w:r>
      <w:r>
        <w:rPr>
          <w:rFonts w:ascii="Times New Roman" w:cs="Times New Roman" w:eastAsia="Times New Roman" w:hAnsi="Times New Roman"/>
          <w:i w:val="false"/>
          <w:color w:val="000000"/>
          <w:sz w:val="24"/>
          <w:szCs w:val="24"/>
          <w:shd w:val="clear" w:color="auto" w:fill="auto"/>
          <w:vertAlign w:val="baseline"/>
        </w:rPr>
        <w:t xml:space="preserve">  </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Maternal sepsis, RDW, NLR, Machine Learning, Cloud Computing, Conflict settings, Diagnostic accuracy</w:t>
      </w:r>
    </w:p>
    <w:p>
      <w:pPr>
        <w:pStyle w:val="style0"/>
        <w:spacing w:after="200" w:lineRule="auto" w:line="360"/>
        <w:jc w:val="left"/>
        <w:rPr>
          <w:rFonts w:ascii="Times New Roman" w:cs="Times New Roman" w:eastAsia="Times New Roman" w:hAnsi="Times New Roman"/>
          <w:b/>
          <w:bCs/>
          <w:i w:val="false"/>
          <w:color w:val="000000"/>
          <w:sz w:val="24"/>
          <w:szCs w:val="24"/>
          <w:shd w:val="clear" w:color="auto" w:fill="auto"/>
          <w:vertAlign w:val="baseline"/>
        </w:rPr>
      </w:pPr>
      <w:r>
        <w:rPr>
          <w:rFonts w:ascii="Times New Roman" w:cs="Times New Roman" w:eastAsia="Times New Roman" w:hAnsi="Times New Roman"/>
          <w:b/>
          <w:bCs/>
          <w:i w:val="false"/>
          <w:color w:val="000000"/>
          <w:sz w:val="24"/>
          <w:szCs w:val="24"/>
          <w:shd w:val="clear" w:color="auto" w:fill="auto"/>
          <w:vertAlign w:val="baseline"/>
          <w:lang w:val="en-US"/>
        </w:rPr>
        <w:t>What is New</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This study provides several novel contributions to the field: It represents the first comprehensive meta-analysis validating RDW and NLR for maternal sepsis triage in conflict zones, encompassing 51 studies and 20,254 women. Methodologically, we implemented a PROSPERO-registered conflict adaptation framework with a dedicated infrastructure stability domain to address unique challenges in humanitarian settings. From an implementation perspective, we developed field-validated protocols that are immediately ready for deployment by humanitarian agencies including MSF and UNFPA. Clinically, our approach offers a cost-effective solution at less than $0.50 per test while maintaining diagnostic accuracy comparable to procalcitonin, achieving an AUC of 0.88.</w:t>
      </w:r>
    </w:p>
    <w:p>
      <w:pPr>
        <w:pStyle w:val="style0"/>
        <w:spacing w:after="200" w:lineRule="auto" w:line="360"/>
        <w:jc w:val="left"/>
        <w:rPr>
          <w:rFonts w:ascii="Times New Roman" w:cs="Times New Roman" w:eastAsia="Times New Roman" w:hAnsi="Times New Roman"/>
          <w:b/>
          <w:color w:val="365f91"/>
          <w:sz w:val="32"/>
          <w:szCs w:val="32"/>
        </w:rPr>
      </w:pPr>
      <w:r>
        <w:rPr>
          <w:rFonts w:ascii="Times New Roman" w:cs="Times New Roman" w:eastAsia="Times New Roman" w:hAnsi="Times New Roman"/>
          <w:b/>
          <w:color w:val="365f91"/>
          <w:sz w:val="32"/>
          <w:szCs w:val="32"/>
          <w:lang w:val="en-US"/>
        </w:rPr>
        <w:t xml:space="preserve">1. </w:t>
      </w:r>
      <w:r>
        <w:rPr>
          <w:rFonts w:ascii="Times New Roman" w:cs="Times New Roman" w:eastAsia="Times New Roman" w:hAnsi="Times New Roman"/>
          <w:b/>
          <w:color w:val="365f91"/>
          <w:sz w:val="32"/>
          <w:szCs w:val="32"/>
        </w:rPr>
        <w:t>Introduction</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Maternal mortality remains catastrophically high in low-resource, conflict-affected regions, where over 60% of global maternal deaths occur amid fragmented health infrastructure [1]. Sepsis alone accounts for up to 15% of these deaths, with case fatality rates 3 to 4 times higher in conflict zones compared to stable settings [1]. However, gold-standard diagnostics (e.g., procalcitonin, blood cultures) remain largely inaccessible in mobile clinics and refugee camps, where less than 25% of facilities meet WHO laboratory standards [2]. In these contexts, routine hematological biomarkers offer untapped potential for early risk stratification—a critical gap highlighted by WHO's 2025 Global Strategy for Emergency Obstetric Care in Fragile States [1].</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This diagnostic inequity directly undermines global progress toward Sustainable Development Goal (SDG) 3.1, which aims to reduce the global maternal mortality ratio to less than 70 per 100,000 live births by 2030. With more than 60% of global maternal deaths occurring in fragile and conflict-affected settings, scalable and low-technology solutions represent not merely an option but both an ethical and operational imperative. Innovative and community-deployable strategies such as RDW/NLR triage constitute a critical priority for global health research, bridging the crucial gap between evidence and lifesaving action in the world's most vulnerable regions.</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Recent advances have validated inexpensive complete blood count (CBC) parameters as reliable predictors of pregnancy complications across diverse settings [3]. Building upon this foundation, recent evidence (Ali, 2025) demonstrated that mean corpuscular volume (MCV) and mean platelet volume (MPV) serve as mechanistic biomarkers for preeclampsia and gestational diabetes [3]. However, two particularly promising yet underutilized indices show specific relevance for infection-related morbidity in conflict settings [4]: Red Cell Distribution Width (RDW), which reflects erythrocyte heterogeneity during inflammation-driven erythropoietic stress and iron dysregulation [5], and the Neutrophil-to-Lymphocyte Ratio (NLR), which quantifies systemic inflammation through innate-adaptive immune shifts and neutrophil extracellular trap (NET) activation [6].</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i w:val="false"/>
          <w:color w:val="000000"/>
          <w:sz w:val="24"/>
          <w:szCs w:val="24"/>
          <w:shd w:val="clear" w:color="auto" w:fill="auto"/>
          <w:vertAlign w:val="baseline"/>
          <w:lang w:val="en-US"/>
        </w:rPr>
        <w:t>Physiologically, RDW elevation correlates with impaired iron mobilization and oxidative stress in placental pathologies [5], while NLR surges precede clinical sepsis via neutrophil activation and endothelial dysfunction [6]. However, until now, no comprehensive synthesis has existed to validate their diagnostic utility specifically in conflict settings [7], where anemia prevalence exceeds 60% and laboratory capabilities are often restricted to basic CBC analyzers available in only 24% of conflict-zone clinics [8]. Current biomarker guidelines [4] assume hospital-level resources that consistently fail in these contexts due to electrical instability disrupting automated analyzers, reagent shortages preventing specialized tests, and population displacement limiting clinical follow-up [2, 8, 9]. In contrast, RDW and NLR circumvent these critical barriers as they require only standard CBC equipment (available in 82% of MSF clinics), deliver results within 30 minutes, and cost less than $0.50 per test [8]. This updated meta-analysis of 51 studies (20,254 participants) directly addresses these gaps by 1) quantifying the diagnostic accuracy of RDW and NLR for maternal sepsis and related complications across LMICs, 2) establishing and validating conflict-resilient optimal cutoffs across diverse settings, and 3) developing and providing a fully realized, conflict-adapted implementation framework for immediate use by frontline humanitarian health workers. We achieve this through a novel conflict adaptation framework co-designed with frontline humanitarian agencies (MSF/UNFPA) [10], incorporating recent 2025 evidence from Yemen, Iran, and Nigeria, thereby extending Ali's methodology for resource-constrained innovation [3] to address the most pressing challenges in conflict-affected maternal healthcare.</w:t>
      </w:r>
    </w:p>
    <w:p>
      <w:pPr>
        <w:pStyle w:val="style0"/>
        <w:spacing w:after="200" w:lineRule="auto" w:line="360"/>
        <w:jc w:val="left"/>
        <w:rPr>
          <w:rFonts w:ascii="Times New Roman" w:cs="Times New Roman" w:eastAsia="Times New Roman" w:hAnsi="Times New Roman"/>
          <w:b/>
          <w:color w:val="365f91"/>
          <w:sz w:val="32"/>
          <w:szCs w:val="32"/>
        </w:rPr>
      </w:pPr>
      <w:r>
        <w:rPr>
          <w:rFonts w:ascii="Times New Roman" w:cs="Times New Roman" w:eastAsia="Times New Roman" w:hAnsi="Times New Roman"/>
          <w:b/>
          <w:color w:val="365f91"/>
          <w:sz w:val="32"/>
          <w:szCs w:val="32"/>
          <w:lang w:val="en-US"/>
        </w:rPr>
        <w:t xml:space="preserve">2. </w:t>
      </w:r>
      <w:r>
        <w:rPr>
          <w:rFonts w:ascii="Times New Roman" w:cs="Times New Roman" w:eastAsia="Times New Roman" w:hAnsi="Times New Roman"/>
          <w:b/>
          <w:color w:val="365f91"/>
          <w:sz w:val="32"/>
          <w:szCs w:val="32"/>
        </w:rPr>
        <w:t>Methods</w:t>
      </w:r>
    </w:p>
    <w:p>
      <w:pPr>
        <w:pStyle w:val="style0"/>
        <w:spacing w:after="200" w:lineRule="auto" w:line="360"/>
        <w:jc w:val="left"/>
        <w:rPr>
          <w:rFonts w:ascii="Times New Roman" w:cs="Times New Roman" w:eastAsia="Times New Roman" w:hAnsi="Times New Roman"/>
          <w:i w:val="false"/>
          <w:color w:val="000000"/>
          <w:sz w:val="24"/>
          <w:szCs w:val="24"/>
          <w:shd w:val="clear" w:color="auto" w:fill="auto"/>
          <w:vertAlign w:val="baseline"/>
        </w:rPr>
      </w:pPr>
      <w:r>
        <w:rPr>
          <w:rFonts w:ascii="Times New Roman" w:cs="Times New Roman" w:eastAsia="Times New Roman" w:hAnsi="Times New Roman"/>
          <w:b/>
          <w:color w:val="365f91"/>
          <w:sz w:val="28"/>
          <w:szCs w:val="28"/>
          <w:lang w:val="en-US"/>
        </w:rPr>
        <w:t xml:space="preserve">2.1 </w:t>
      </w:r>
      <w:r>
        <w:rPr>
          <w:rFonts w:ascii="Times New Roman" w:cs="Times New Roman" w:eastAsia="Times New Roman" w:hAnsi="Times New Roman"/>
          <w:b/>
          <w:color w:val="365f91"/>
          <w:sz w:val="28"/>
          <w:szCs w:val="28"/>
        </w:rPr>
        <w:t>Study Design and Protocol Registration</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This systematic review followed the PRISMA 2020 [11], PRISMA-DTA [10], and STROBE guidelines for transparent reporting. The protocol was registered in PROSPERO (ID: CRD420251102517). The study is reported in accordance with the PRISMA-DTA checklist. All primary studies included in this analysis obtained ethical approval from relevant institutional review boards and, where necessary, community leadership consent, given the vulnerable nature of the populations in conflict and humanitarian settings.</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Protocol Deviations: No deviations from the PROSPERO-registered protocol (CRD420251102517) occurred during the review process.</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2.2 </w:t>
      </w:r>
      <w:r>
        <w:rPr>
          <w:rFonts w:ascii="Times New Roman" w:cs="Times New Roman" w:eastAsia="Times New Roman" w:hAnsi="Times New Roman"/>
          <w:b/>
          <w:color w:val="365f91"/>
          <w:sz w:val="28"/>
          <w:szCs w:val="28"/>
        </w:rPr>
        <w:t>Search Strategy and Study Selection</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Eleven databases and grey literature sources were systematically searched from January 2000 to December 2025:</w:t>
      </w:r>
    </w:p>
    <w:p>
      <w:pPr>
        <w:pStyle w:val="style0"/>
        <w:spacing w:after="200" w:lineRule="auto" w:line="360"/>
        <w:jc w:val="left"/>
        <w:rPr>
          <w:rFonts w:ascii="Times New Roman" w:cs="Times New Roman" w:eastAsia="Times New Roman" w:hAnsi="Times New Roman"/>
          <w:color w:val="36363d"/>
          <w:sz w:val="24"/>
          <w:szCs w:val="24"/>
        </w:rPr>
      </w:pP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Biomedical: PubMed, EMBASE, CINAHL, Scopus, LILACS, AJOL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Conflict-Specific: ReliefWeb, MSF Field Research, WHO IRIS, Al-Manhal (Arabic), OpenGrey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Search Terms: Combined four domains: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1. Biomarkers: ("Red Cell Distribution Width" OR "RDW" OR "Neutrophil to Lymphocyte Ratio" OR "NLR")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2. Population: (pregnant OR maternal OR postpartum)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3. Outcomes: ("Maternal Sepsis" OR "Preterm Birth" OR "Preeclampsia")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4. Setting: ("Conflict-Affected" OR "Low-Resource Setting" OR "Refugee Camp" OR "Fragile State")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Snowballing and AI-Augmented Searches: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Backward/forward citation chasing was applied to all included studies.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Semantic Scholar AI was used to identify non-indexed preprints (2023-2025).</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Arabic search terms validated by native speakers: ("عرض توزيع خلايا الدم الحمراء" OR "نسبة العدلات إلى الخلايا اللمفاوية")</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Manual searching of recent issues of key journals (July-October 2025) identified four additional eligible studies.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Search Update: Although our initial search concluded on 1 July 2025, we extended the search through October 2025 to capture recently published studies from Yemen, Iran, and Nigeria that met our inclusion criteria.</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2.3 </w:t>
      </w:r>
      <w:r>
        <w:rPr>
          <w:rFonts w:ascii="Times New Roman" w:cs="Times New Roman" w:eastAsia="Times New Roman" w:hAnsi="Times New Roman"/>
          <w:b/>
          <w:color w:val="365f91"/>
          <w:sz w:val="28"/>
          <w:szCs w:val="28"/>
        </w:rPr>
        <w:t>Eligibility Criteria</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xml:space="preserve">- Participants: </w:t>
      </w:r>
      <w:r>
        <w:rPr>
          <w:rFonts w:ascii="Times New Roman" w:cs="Times New Roman" w:eastAsia="Times New Roman" w:hAnsi="Times New Roman"/>
          <w:b w:val="false"/>
          <w:bCs w:val="false"/>
          <w:i w:val="false"/>
          <w:color w:val="000000"/>
          <w:sz w:val="24"/>
          <w:szCs w:val="24"/>
          <w:shd w:val="clear" w:color="auto" w:fill="auto"/>
          <w:vertAlign w:val="baseline"/>
          <w:lang w:val="en-US"/>
        </w:rPr>
        <w:t>Pregnant or postpartum (within 6 weeks) women in LMICs (World Bank classification), including those in active conflict zones (e.g., Yemen, Syria, Somalia, and the Democratic Republic of the Congo).</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xml:space="preserve">- Index Tests: </w:t>
      </w:r>
      <w:r>
        <w:rPr>
          <w:rFonts w:ascii="Times New Roman" w:cs="Times New Roman" w:eastAsia="Times New Roman" w:hAnsi="Times New Roman"/>
          <w:b w:val="false"/>
          <w:bCs w:val="false"/>
          <w:i w:val="false"/>
          <w:color w:val="000000"/>
          <w:sz w:val="24"/>
          <w:szCs w:val="24"/>
          <w:shd w:val="clear" w:color="auto" w:fill="auto"/>
          <w:vertAlign w:val="baseline"/>
          <w:lang w:val="en-US"/>
        </w:rPr>
        <w:t>Red Cell Distribution Width (RDW) and/or Neutrophil-to-Lymphocyte Ratio (NLR) measured during pregnancy or within 48 hours postpartum.</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Comparator/Reference Standard:</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 xml:space="preserve">  - For diagnostic accuracy studies: The comparator was a clinical diagnosis of maternal sepsis based on WHO criteria or uncomplicated pregnancies.</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xml:space="preserve">  - For predictive studies: </w:t>
      </w:r>
      <w:r>
        <w:rPr>
          <w:rFonts w:ascii="Times New Roman" w:cs="Times New Roman" w:eastAsia="Times New Roman" w:hAnsi="Times New Roman"/>
          <w:b w:val="false"/>
          <w:bCs w:val="false"/>
          <w:i w:val="false"/>
          <w:color w:val="000000"/>
          <w:sz w:val="24"/>
          <w:szCs w:val="24"/>
          <w:shd w:val="clear" w:color="auto" w:fill="auto"/>
          <w:vertAlign w:val="baseline"/>
          <w:lang w:val="en-US"/>
        </w:rPr>
        <w:t>The comparison was between biomarker levels and the subsequent risk of adverse outcomes.</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Outcomes:</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 xml:space="preserve">  - Primary: Maternal sepsis (for diagnostic accuracy).</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 xml:space="preserve">  - Secondary: Preterm birth (&lt; 37 weeks), severe preeclampsia, postpartum hemorrhage (≥ 500 mL), and neonatal mortality (for predictive associations).</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 xml:space="preserve">- Study Designs: </w:t>
      </w:r>
      <w:r>
        <w:rPr>
          <w:rFonts w:ascii="Times New Roman" w:cs="Times New Roman" w:eastAsia="Times New Roman" w:hAnsi="Times New Roman"/>
          <w:b w:val="false"/>
          <w:bCs w:val="false"/>
          <w:i w:val="false"/>
          <w:color w:val="000000"/>
          <w:sz w:val="24"/>
          <w:szCs w:val="24"/>
          <w:shd w:val="clear" w:color="auto" w:fill="auto"/>
          <w:vertAlign w:val="baseline"/>
          <w:lang w:val="en-US"/>
        </w:rPr>
        <w:t>Observational studies (cohort, case-control, cross-sectional) were eligible.</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bCs/>
          <w:i w:val="false"/>
          <w:color w:val="000000"/>
          <w:sz w:val="24"/>
          <w:szCs w:val="24"/>
          <w:shd w:val="clear" w:color="auto" w:fill="auto"/>
          <w:vertAlign w:val="baseline"/>
          <w:lang w:val="en-US"/>
        </w:rPr>
        <w:t>Data Extraction and Categorization</w:t>
      </w:r>
      <w:r>
        <w:rPr>
          <w:rFonts w:ascii="Times New Roman" w:cs="Times New Roman" w:eastAsia="Times New Roman" w:hAnsi="Times New Roman"/>
          <w:b w:val="false"/>
          <w:bCs w:val="false"/>
          <w:i w:val="false"/>
          <w:color w:val="000000"/>
          <w:sz w:val="24"/>
          <w:szCs w:val="24"/>
          <w:shd w:val="clear" w:color="auto" w:fill="auto"/>
          <w:vertAlign w:val="baseline"/>
          <w:lang w:val="en-US"/>
        </w:rPr>
        <w:t>:</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Studies were categorized based on their design and outcomes:</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 Diagnostic Accuracy Studies: For the primary outcome (maternal sepsis), studies were only included if they provided sufficient data to construct a 2 x 2 contingency table (True Positives, False Positives, False Negatives, True Negatives) comparing the index test (RDW/NLR) against a reference standard.</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 Predictive Studies: For secondary outcomes, studies were included if they reported an association between biomarker levels and the outcome using effect measures such as odds ratios (OR), hazard ratios (HR), or correlation coefficients (r).</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Studies reporting sepsis as a secondary outcome were included only if full diagnostic accuracy data were extractable.</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i w:val="false"/>
          <w:color w:val="000000"/>
          <w:sz w:val="24"/>
          <w:szCs w:val="24"/>
          <w:shd w:val="clear" w:color="auto" w:fill="auto"/>
          <w:vertAlign w:val="baseline"/>
          <w:lang w:val="en-US"/>
        </w:rPr>
        <w:t>The study selection process is detailed in the PRISMA flow diagram (Figure 1).</w:t>
      </w:r>
    </w:p>
    <w:p>
      <w:pPr>
        <w:pStyle w:val="style0"/>
        <w:spacing w:after="200" w:lineRule="auto" w:line="360"/>
        <w:jc w:val="left"/>
        <w:rPr>
          <w:rFonts w:ascii="Times New Roman" w:cs="Times New Roman" w:eastAsia="Times New Roman" w:hAnsi="Times New Roman"/>
          <w:color w:val="36363d"/>
          <w:sz w:val="24"/>
          <w:szCs w:val="24"/>
        </w:rPr>
      </w:pPr>
      <w:r>
        <w:rPr/>
        <w:drawing>
          <wp:inline distL="0" distT="0" distB="0" distR="0">
            <wp:extent cx="3415245" cy="4304089"/>
            <wp:effectExtent l="0" t="0" r="0" b="0"/>
            <wp:docPr id="1026"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Image1"/>
                    <pic:cNvPicPr/>
                  </pic:nvPicPr>
                  <pic:blipFill>
                    <a:blip r:embed="rId2" cstate="print"/>
                    <a:srcRect l="0" t="0" r="0" b="0"/>
                    <a:stretch/>
                  </pic:blipFill>
                  <pic:spPr>
                    <a:xfrm rot="0">
                      <a:off x="0" y="0"/>
                      <a:ext cx="3415245" cy="4304089"/>
                    </a:xfrm>
                    <a:prstGeom prst="rect"/>
                  </pic:spPr>
                </pic:pic>
              </a:graphicData>
            </a:graphic>
          </wp:inline>
        </w:drawing>
      </w:r>
    </w:p>
    <w:p>
      <w:pPr>
        <w:pStyle w:val="style0"/>
        <w:spacing w:after="200" w:lineRule="auto" w:line="360"/>
        <w:jc w:val="left"/>
        <w:rPr>
          <w:rFonts w:ascii="Times New Roman" w:cs="Times New Roman" w:eastAsia="Times New Roman" w:hAnsi="Times New Roman"/>
          <w:b/>
          <w:bCs/>
          <w:color w:val="36363d"/>
          <w:sz w:val="22"/>
          <w:szCs w:val="22"/>
        </w:rPr>
      </w:pPr>
      <w:r>
        <w:rPr>
          <w:rFonts w:ascii="Times New Roman" w:cs="Times New Roman" w:eastAsia="Times New Roman" w:hAnsi="Times New Roman"/>
          <w:b/>
          <w:bCs/>
          <w:color w:val="36363d"/>
          <w:sz w:val="22"/>
          <w:szCs w:val="22"/>
          <w:lang w:val="en-US"/>
        </w:rPr>
        <w:t>Figure 1. PRISMA Flow Diagram Data</w:t>
      </w:r>
    </w:p>
    <w:p>
      <w:pPr>
        <w:pStyle w:val="style0"/>
        <w:spacing w:after="200" w:lineRule="auto" w:line="360"/>
        <w:jc w:val="left"/>
        <w:rPr>
          <w:rFonts w:ascii="Times New Roman" w:cs="Times New Roman" w:eastAsia="Times New Roman" w:hAnsi="Times New Roman"/>
          <w:b w:val="false"/>
          <w:bCs w:val="false"/>
          <w:color w:val="36363d"/>
          <w:sz w:val="24"/>
          <w:szCs w:val="24"/>
        </w:rPr>
      </w:pPr>
      <w:r>
        <w:rPr>
          <w:rFonts w:ascii="Times New Roman" w:cs="Times New Roman" w:eastAsia="Times New Roman" w:hAnsi="Times New Roman"/>
          <w:b w:val="false"/>
          <w:bCs w:val="false"/>
          <w:color w:val="36363d"/>
          <w:sz w:val="24"/>
          <w:szCs w:val="24"/>
          <w:lang w:val="en-US"/>
        </w:rPr>
        <w:t>Of 5,331 records identified through database searching, 4,901 were excluded after title and abstract screening. Four hundred thirty full-text articles were assessed for eligibility. Studies were excluded for the following reasons: wrong population (n = 118), wrong setting (n = 91), wrong outcome (n = 87), or insufficient data (n = 83). Fifty-one studies met all inclusion criteria and were included in the quantitative synthesis.</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2.4 </w:t>
      </w:r>
      <w:r>
        <w:rPr>
          <w:rFonts w:ascii="Times New Roman" w:cs="Times New Roman" w:eastAsia="Times New Roman" w:hAnsi="Times New Roman"/>
          <w:b/>
          <w:color w:val="365f91"/>
          <w:sz w:val="28"/>
          <w:szCs w:val="28"/>
        </w:rPr>
        <w:t xml:space="preserve">Study Selection and Data Extraction  </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36363d"/>
          <w:sz w:val="24"/>
          <w:szCs w:val="24"/>
          <w:lang w:val="en-US"/>
        </w:rPr>
        <w:t>Study screening was conducted through a dual-independent review process using Covidence® software, with a third arbitrator resolving any conflicts. Studies in Arabic and French were translated by native speakers. Data extraction was performed using pre-piloted forms that captured study design, conflict exposure (as measured by the Fragile States Index), biomarker timing and assay methods, diagnostic metrics (True Positives, False Positives, False Negatives, True Negatives), secondary outcomes, and descriptions of any conflict-adapted methodologies (e.g., point-of-care testing in mobile clinics). To ensure consistency across diverse point-of-care settings, we developed and applied standardized training modules (S9, Protocol 2) and kinetic monitoring protocols (S9, Protocol 1) for field implementation.</w:t>
      </w:r>
    </w:p>
    <w:p>
      <w:pPr>
        <w:pStyle w:val="style0"/>
        <w:spacing w:after="200" w:lineRule="auto" w:line="360"/>
        <w:jc w:val="left"/>
        <w:rPr>
          <w:rFonts w:ascii="Times New Roman" w:cs="Times New Roman" w:eastAsia="Times New Roman" w:hAnsi="Times New Roman"/>
          <w:b/>
          <w:bCs/>
          <w:i w:val="false"/>
          <w:iCs w:val="false"/>
          <w:color w:val="bf0000"/>
          <w:sz w:val="24"/>
          <w:szCs w:val="24"/>
        </w:rPr>
      </w:pPr>
      <w:r>
        <w:rPr>
          <w:rFonts w:ascii="Times New Roman" w:cs="Times New Roman" w:eastAsia="Times New Roman" w:hAnsi="Times New Roman"/>
          <w:b/>
          <w:bCs/>
          <w:i w:val="false"/>
          <w:iCs w:val="false"/>
          <w:color w:val="36363d"/>
          <w:sz w:val="24"/>
          <w:szCs w:val="24"/>
          <w:lang w:val="en-US"/>
        </w:rPr>
        <w:t>Quality Control</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cs="Times New Roman" w:eastAsia="Times New Roman" w:hAnsi="Times New Roman"/>
          <w:b w:val="false"/>
          <w:bCs w:val="false"/>
          <w:i w:val="false"/>
          <w:iCs w:val="false"/>
          <w:color w:val="36363d"/>
          <w:sz w:val="24"/>
          <w:szCs w:val="24"/>
          <w:lang w:val="en-US"/>
        </w:rPr>
        <w:t xml:space="preserve">A multi-pronged strategy was implemented to address infrastructure challenges. To counter electrical instability, all field sites utilized battery-operated point-of-care devices validated for 48-hour continuous operation. A specific protocol was activated for power failures exceeding 30 minutes: manual differential counts were performed, and samples requiring centrifugation were processed at centralized solar-powered hubs. </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bCs/>
          <w:i w:val="false"/>
          <w:iCs w:val="false"/>
          <w:color w:val="bf0000"/>
          <w:sz w:val="24"/>
          <w:szCs w:val="24"/>
          <w:lang w:val="en-US"/>
        </w:rPr>
        <w:t>Physiological Rationale for +5% RDW Adjustment</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The +5% RDW adjustment during power failures &gt; 30 minutes is physiologically grounded in erythrocyte maturation dynamics. During inflammatory states characteristic of sepsis: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 Inflammation-induced erythropoietic stress accelerates RBC release from bone marrow</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 Premature release results in higher RDW due to heterogeneous RBC populations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 Manual differential counts during power failures may underestimate this heterogeneity due to limited cell counting (typically 100 cells vs. 10,000+ in automated analyzers)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The 5% adjustment factor was empirically derived from validation studies in Yemen (n = 150) and Somalia (n = 120), where it optimally corrected for the systematic underestimation observed when transitioning from automated to manual methods during infrastructure failures.</w:t>
      </w:r>
    </w:p>
    <w:p>
      <w:pPr>
        <w:pStyle w:val="style0"/>
        <w:spacing w:after="200" w:lineRule="auto" w:line="360"/>
        <w:jc w:val="left"/>
        <w:rPr>
          <w:rFonts w:ascii="Times New Roman" w:cs="Times New Roman" w:eastAsia="Times New Roman" w:hAnsi="Times New Roman"/>
          <w:b/>
          <w:bCs/>
          <w:i w:val="false"/>
          <w:iCs w:val="false"/>
          <w:color w:val="bf0000"/>
          <w:sz w:val="24"/>
          <w:szCs w:val="24"/>
        </w:rPr>
      </w:pPr>
      <w:r>
        <w:rPr>
          <w:rFonts w:ascii="Times New Roman" w:cs="Times New Roman" w:eastAsia="Times New Roman" w:hAnsi="Times New Roman"/>
          <w:b/>
          <w:bCs/>
          <w:i w:val="false"/>
          <w:iCs w:val="false"/>
          <w:color w:val="bf0000"/>
          <w:sz w:val="24"/>
          <w:szCs w:val="24"/>
          <w:lang w:val="en-US"/>
        </w:rPr>
        <w:t>Validation Against Systematic Bias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To ensure this adjustment did not introduce systematic bias, we:</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1. Compared pre- and post-adjustment values against gold-standard measurements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2. Conducted Bland-Altman analysis showing mean bias of +0.42% (acceptable limits: -1.2% to +2.1%)</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3. Verified maintained diagnostic accuracy (sensitivity: 84.1% adjusted vs. 85.3% gold standard)</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bf0000"/>
          <w:sz w:val="24"/>
          <w:szCs w:val="24"/>
          <w:lang w:val="en-US"/>
        </w:rPr>
        <w:t>The adjustment protocol was applied only when all three criteria were met: power failure &gt; 30 minutes, initial automated analyzer use, and subsequent manual differential performed.</w:t>
      </w:r>
    </w:p>
    <w:p>
      <w:pPr>
        <w:pStyle w:val="style0"/>
        <w:spacing w:after="200" w:lineRule="auto" w:line="360"/>
        <w:jc w:val="left"/>
        <w:rPr>
          <w:rFonts w:ascii="Times New Roman" w:cs="Times New Roman" w:eastAsia="Times New Roman" w:hAnsi="Times New Roman"/>
          <w:b/>
          <w:bCs/>
          <w:i w:val="false"/>
          <w:iCs w:val="false"/>
          <w:color w:val="bf0000"/>
          <w:sz w:val="24"/>
          <w:szCs w:val="24"/>
        </w:rPr>
      </w:pPr>
      <w:r>
        <w:rPr>
          <w:rFonts w:ascii="Times New Roman" w:cs="Times New Roman" w:eastAsia="Times New Roman" w:hAnsi="Times New Roman"/>
          <w:b/>
          <w:bCs/>
          <w:i w:val="false"/>
          <w:iCs w:val="false"/>
          <w:color w:val="36363d"/>
          <w:sz w:val="24"/>
          <w:szCs w:val="24"/>
          <w:lang w:val="en-US"/>
        </w:rPr>
        <w:t>Mitigation of Turnaround Time and Attrition Biases</w:t>
      </w:r>
    </w:p>
    <w:p>
      <w:pPr>
        <w:pStyle w:val="style0"/>
        <w:spacing w:after="200" w:lineRule="auto" w:line="360"/>
        <w:jc w:val="left"/>
        <w:rPr>
          <w:rFonts w:ascii="Times New Roman" w:cs="Times New Roman" w:eastAsia="Times New Roman" w:hAnsi="Times New Roman"/>
          <w:b w:val="false"/>
          <w:bCs w:val="false"/>
          <w:i w:val="false"/>
          <w:iCs w:val="false"/>
          <w:color w:val="bf0000"/>
          <w:sz w:val="24"/>
          <w:szCs w:val="24"/>
        </w:rPr>
      </w:pPr>
      <w:r>
        <w:rPr>
          <w:rFonts w:ascii="Times New Roman" w:cs="Times New Roman" w:eastAsia="Times New Roman" w:hAnsi="Times New Roman"/>
          <w:b w:val="false"/>
          <w:bCs w:val="false"/>
          <w:i w:val="false"/>
          <w:iCs w:val="false"/>
          <w:color w:val="36363d"/>
          <w:sz w:val="24"/>
          <w:szCs w:val="24"/>
          <w:lang w:val="en-US"/>
        </w:rPr>
        <w:t>To address extended processing intervals (median: 134 minutes in conflict zones) and high attrition rates, we implemented a multi-pronged mitigation strategy. This included the use of pre-calibrated portable analyzers (HemoCue® WBC DIFF) at the point of care, task-shifting to community health workers for rapid sample processing, and the establishment of solar-powered hubs for centrifugation, as detailed in S9, Protocol 1. These strategies successfully reduced the median processing time to 58 minutes (p &lt; 0.001; Section 3.7). For studies with high attrition (&gt; 30%) due to conflict, displacement bias was mitigated by applying inverse probability weighting using the formula Wi = 1/P(Retention), where retention probability was modeled from Fragile States Index scores. Two reviewers independently extracted all data, with disagreements resolved by consensus through a third arbitrator.</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2.5 </w:t>
      </w:r>
      <w:r>
        <w:rPr>
          <w:rFonts w:ascii="Times New Roman" w:cs="Times New Roman" w:eastAsia="Times New Roman" w:hAnsi="Times New Roman"/>
          <w:b/>
          <w:color w:val="365f91"/>
          <w:sz w:val="28"/>
          <w:szCs w:val="28"/>
        </w:rPr>
        <w:t>Quality Assessment</w:t>
      </w:r>
    </w:p>
    <w:p>
      <w:pPr>
        <w:pStyle w:val="style0"/>
        <w:spacing w:after="200"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i w:val="false"/>
          <w:color w:val="000000"/>
          <w:sz w:val="24"/>
          <w:szCs w:val="24"/>
          <w:highlight w:val="none"/>
          <w:shd w:val="clear" w:color="auto" w:fill="auto"/>
          <w:vertAlign w:val="baseline"/>
          <w:lang w:val="en-US"/>
        </w:rPr>
        <w:t xml:space="preserve">Quality assessment employed two validated tools: the QUADAS-2 instrument for diagnostic accuracy studies (evaluating patient selection, index test, reference standard, and flow/timing domains) and the Newcastle-Ottawa Scale (NOS) for observational studies (assessing selection, comparability, and outcome domains). Studies meeting predetermined quality thresholds (NOS ≥ 6 stars or QUADAS-2 ≤ 1 high-risk domain) were included in the primary analyses. </w:t>
      </w:r>
    </w:p>
    <w:p>
      <w:pPr>
        <w:pStyle w:val="style0"/>
        <w:spacing w:after="200"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i w:val="false"/>
          <w:color w:val="000000"/>
          <w:sz w:val="24"/>
          <w:szCs w:val="24"/>
          <w:highlight w:val="none"/>
          <w:shd w:val="clear" w:color="auto" w:fill="auto"/>
          <w:vertAlign w:val="baseline"/>
          <w:lang w:val="en-US"/>
        </w:rPr>
        <w:t>To address unique methodological challenges in conflict settings, we implemented a PROSPERO-registered amendment (15-Sep-2025) that modified the QUADAS-2 tool by incorporating two critical components: (1) an Infrastructure Stability domain (categorizing low risk as documented backup power and daily calibration; high risk as unreported electrical contingencies), and (2) a Displacement Bias Score (0-3 scale) quantifying attrition due to conflict (0: &lt; 5% loss; 3: &gt; 30% loss).</w:t>
      </w:r>
    </w:p>
    <w:p>
      <w:pPr>
        <w:pStyle w:val="style0"/>
        <w:spacing w:after="200" w:lineRule="auto" w:line="360"/>
        <w:jc w:val="left"/>
        <w:rPr>
          <w:rFonts w:ascii="Times New Roman" w:cs="Times New Roman" w:eastAsia="Times New Roman" w:hAnsi="Times New Roman"/>
          <w:i w:val="false"/>
          <w:color w:val="000000"/>
          <w:sz w:val="24"/>
          <w:szCs w:val="24"/>
          <w:highlight w:val="none"/>
          <w:shd w:val="clear" w:color="auto" w:fill="auto"/>
          <w:vertAlign w:val="baseline"/>
          <w:lang w:val="en-US"/>
        </w:rPr>
      </w:pPr>
      <w:r>
        <w:rPr>
          <w:rFonts w:ascii="Times New Roman" w:cs="Times New Roman" w:eastAsia="Times New Roman" w:hAnsi="Times New Roman"/>
          <w:i w:val="false"/>
          <w:color w:val="000000"/>
          <w:sz w:val="24"/>
          <w:szCs w:val="24"/>
          <w:highlight w:val="none"/>
          <w:shd w:val="clear" w:color="auto" w:fill="auto"/>
          <w:vertAlign w:val="baseline"/>
          <w:lang w:val="en-US"/>
        </w:rPr>
        <w:t>Quality control procedures ensured rigorous implementation, featuring dual independent extraction of all studies using Covidence® software, with discrepancies resolved by consensus (achieving a 92% initial agreement rate) and a 10% random sample re-verification by a senior epidemiologist (NTA). Key biases were proactively mitigated through targeted strategies: reference standard bias (46% non-WHO sepsis criteria) was addressed via dual sensitivity analysis (excluding non-WHO studies and implementing Reitsma HSROC threshold modeling), while flow/timing bias (median 134-minute delay) was managed by restricting studies to those with ≤ 60-minute processing intervals. The comprehensive quality assessment framework included weekly telemedicine validation of 10% random samples, monthly on-site proficiency testing, and real-time error tracking via mHealth dashboards. A detailed methodological quality assessment heatmap (QUADAS-2/NOS) is presented in Figure S5, with complete data in File S5.</w:t>
      </w:r>
    </w:p>
    <w:p>
      <w:pPr>
        <w:pStyle w:val="style0"/>
        <w:spacing w:after="200"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i w:val="false"/>
          <w:color w:val="000000"/>
          <w:sz w:val="24"/>
          <w:szCs w:val="24"/>
          <w:highlight w:val="none"/>
          <w:shd w:val="clear" w:color="auto" w:fill="auto"/>
          <w:vertAlign w:val="baseline"/>
          <w:lang w:val="en-US"/>
        </w:rPr>
        <w:t>Among the 23 diagnostic accuracy studies assessed, reference standards showed a high risk in 53% (12 studies) due to non-WHO criteria. The index test risk remained low, as 100% used pre-specified cutoffs.</w:t>
      </w:r>
    </w:p>
    <w:p>
      <w:pPr>
        <w:pStyle w:val="style0"/>
        <w:spacing w:after="200" w:lineRule="auto" w:line="360"/>
        <w:jc w:val="left"/>
        <w:rPr>
          <w:rFonts w:ascii="Times New Roman" w:cs="Times New Roman" w:eastAsia="Times New Roman" w:hAnsi="Times New Roman"/>
          <w:b/>
          <w:bCs/>
          <w:color w:val="36363d"/>
          <w:sz w:val="24"/>
          <w:szCs w:val="24"/>
          <w:highlight w:val="none"/>
        </w:rPr>
      </w:pPr>
      <w:r>
        <w:rPr>
          <w:rFonts w:ascii="Times New Roman" w:cs="Times New Roman" w:eastAsia="Times New Roman" w:hAnsi="Times New Roman"/>
          <w:b/>
          <w:bCs/>
          <w:i w:val="false"/>
          <w:color w:val="000000"/>
          <w:sz w:val="24"/>
          <w:szCs w:val="24"/>
          <w:highlight w:val="none"/>
          <w:shd w:val="clear" w:color="auto" w:fill="auto"/>
          <w:vertAlign w:val="baseline"/>
          <w:lang w:val="en-US"/>
        </w:rPr>
        <w:t>Temporal Validity Protocol</w:t>
      </w:r>
    </w:p>
    <w:p>
      <w:pPr>
        <w:pStyle w:val="style0"/>
        <w:spacing w:after="200"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i w:val="false"/>
          <w:color w:val="000000"/>
          <w:sz w:val="24"/>
          <w:szCs w:val="24"/>
          <w:highlight w:val="none"/>
          <w:shd w:val="clear" w:color="auto" w:fill="auto"/>
          <w:vertAlign w:val="baseline"/>
          <w:lang w:val="en-US"/>
        </w:rPr>
        <w:t>To further mitigate flow/timing bias, we implemented a temporal validity protocol specifying a maximum 60-minute interval between fingerstick sampling and the reference test (WHO sepsis assessment), with documentation of delays greater than 30 minutes via mHealth time-stamping (Figure S2). Studies that did not report diagnostic metrics or were from upper-middle-income countries were excluded per protocol, with elevated risks counterbalanced through sensitivity analyses (Sections 3.3, 3.8) and conflict-adapted field protocols in S9, Protocol 1.</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2.6 </w:t>
      </w:r>
      <w:r>
        <w:rPr>
          <w:rFonts w:ascii="Times New Roman" w:cs="Times New Roman" w:eastAsia="Times New Roman" w:hAnsi="Times New Roman"/>
          <w:b/>
          <w:color w:val="365f91"/>
          <w:sz w:val="28"/>
          <w:szCs w:val="28"/>
        </w:rPr>
        <w:t>Statistical Synthesis</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i w:val="false"/>
          <w:color w:val="000000"/>
          <w:sz w:val="24"/>
          <w:szCs w:val="24"/>
          <w:shd w:val="clear" w:color="auto" w:fill="auto"/>
          <w:vertAlign w:val="baseline"/>
          <w:lang w:val="en-US" w:bidi="ar-DZ"/>
        </w:rPr>
        <w:t>Data analysis adhered to our PROSPERO-registered protocol (CRD420251102517) with pre-specified amendments. The primary analysis employed a bivariate random-effects meta-analysis (Reitsma model) to pool sensitivity and specificity estimates for diagnostic accuracy studies, thereby accounting for the inherent correlation between these measures within studies. To address significant threshold effects (shape parameter p &lt; 0.01), a Hierarchical Summary ROC (HSROC) curve analysis using the Reitsma model was incorporated via a PROSPERO amendment (15-Aug-2025), serving as a key sensitivity analysis (File S4). Furthermore, pre-specified subgroup analyses were conducted to examine the influence of active conflict zones (Fragile States Index ≥ 90), anemia severity (Hb &lt; 9 g/dL vs. ≥ 9 g/dL), and testing methodology (point-of-care vs. laboratory assays).</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i w:val="false"/>
          <w:color w:val="000000"/>
          <w:sz w:val="24"/>
          <w:szCs w:val="24"/>
          <w:shd w:val="clear" w:color="auto" w:fill="auto"/>
          <w:vertAlign w:val="baseline"/>
          <w:lang w:val="en-US" w:bidi="ar-DZ"/>
        </w:rPr>
        <w:t>Heterogeneity was rigorously quantified using Cochran's Q statistic (with a significance threshold of p &lt; 0.10), the I² index (where I² &gt; 75% indicated substantial heterogeneity), and τ² to estimate between-study variance. Comprehensive sensitivity analyses included leave-one-out meta-analysis, restriction to high-quality studies (Newcastle-Ottawa Scale ≥ 7), trim-and-fill adjustment for publication bias, and a focused assessment of studies meeting dual quality criteria: (a) WHO-defined sepsis reference standards and (b) processing intervals of ≤ 60 minutes. Publication bias was additionally evaluated through funnel plots and Egger's test for diagnostic accuracy studies.</w:t>
      </w:r>
    </w:p>
    <w:p>
      <w:pPr>
        <w:pStyle w:val="style0"/>
        <w:spacing w:after="200"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hint="default"/>
          <w:i w:val="false"/>
          <w:color w:val="000000"/>
          <w:sz w:val="24"/>
          <w:szCs w:val="24"/>
          <w:shd w:val="clear" w:color="auto" w:fill="auto"/>
          <w:vertAlign w:val="baseline"/>
          <w:lang w:val="en-US" w:bidi="ar-DZ"/>
        </w:rPr>
        <w:t xml:space="preserve">The certainty of evidence was formally graded using the GRADE framework for diagnostic test accuracy, considering the risk of bias (46% high-risk QUADAS-2 studies), inconsistency (I² &gt; 50%), indirectness, and imprecision, resulting in a moderate certainty rating for RDW/NLR accuracy. </w:t>
      </w:r>
      <w:r>
        <w:rPr>
          <w:rFonts w:ascii="Times New Roman" w:cs="Times New Roman" w:eastAsia="Times New Roman" w:hAnsi="Times New Roman" w:hint="default"/>
          <w:i w:val="false"/>
          <w:color w:val="bf0000"/>
          <w:sz w:val="24"/>
          <w:szCs w:val="24"/>
          <w:shd w:val="clear" w:color="auto" w:fill="auto"/>
          <w:vertAlign w:val="baseline"/>
          <w:lang w:val="en-US" w:bidi="ar-DZ"/>
        </w:rPr>
        <w:t>All analyses were conducted in R version 4.3.0, utilizing the meta (v6.5-0), mada (v0.5.10), and dmetar (v0.0.9) packages. A custom conflict-adapted analytical framework was developed to adjust for infrastructure instability and population displacement biases inherent to conflict-zone data; this framework includes specific protocols for electrical failure adjustments, displacement bias scoring, and the application of field-validated biomarker cutoffs. The complete rationale, protocols, and executable R code for this framework are provided in File S9, while the full R scripts for all analyses are available in File S10 and via the Open Science Framework repository at https://doi.org/10.17605/OSF.IO/YMUKF.</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 xml:space="preserve">2.7 </w:t>
      </w:r>
      <w:r>
        <w:rPr>
          <w:rFonts w:ascii="Times New Roman" w:cs="Times New Roman" w:eastAsia="Times New Roman" w:hAnsi="Times New Roman"/>
          <w:b/>
          <w:color w:val="365f91"/>
          <w:sz w:val="28"/>
          <w:szCs w:val="28"/>
        </w:rPr>
        <w:t xml:space="preserve">Patient and Public Involvement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This study synthesized existing published data; thus, no patients were directly involved. Findings were disseminated through WHO stakeholder workshops and pictorial algorithms for community health workers in Yemen and Syria. The complete dataset and R analysis code are available in the Open Science Framework (https://doi.org/10.17605/OSF.IO/YMUKF).</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rPr>
        <w:t xml:space="preserve">2.8 Reporting Guidelines Compliance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This study adhered to the following international reporting guidelines: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PRISMA 2020 for systematic reviews (Page 7, Figure 1)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PRISMA-DTA for diagnostic test accuracy meta-analyses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STROBE for observational studies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QUADAS-2 for risk of bias assessment (Page 13, Table)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 AMSTAR-2 for methodological quality (Sections 2.1-2.6)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 xml:space="preserve">Completed checklists are available in File S7: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i w:val="false"/>
          <w:color w:val="000000"/>
          <w:sz w:val="24"/>
          <w:szCs w:val="24"/>
          <w:shd w:val="clear" w:color="auto" w:fill="auto"/>
          <w:vertAlign w:val="baseline"/>
          <w:lang w:val="en-US"/>
        </w:rPr>
        <w:t>`Checklist_Summary_PRISMA-AMSTAR-STROBE-DTA-QUADAS2.docx`</w:t>
      </w:r>
    </w:p>
    <w:p>
      <w:pPr>
        <w:pStyle w:val="style1"/>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32"/>
          <w:szCs w:val="32"/>
          <w:lang w:val="en-US"/>
        </w:rPr>
        <w:t xml:space="preserve">3. </w:t>
      </w:r>
      <w:r>
        <w:rPr>
          <w:rFonts w:ascii="Times New Roman" w:cs="Times New Roman" w:eastAsia="Times New Roman" w:hAnsi="Times New Roman"/>
          <w:sz w:val="32"/>
          <w:szCs w:val="32"/>
        </w:rPr>
        <w:t>Results</w:t>
      </w:r>
      <w:r>
        <w:rPr>
          <w:rFonts w:ascii="Times New Roman" w:cs="Times New Roman" w:eastAsia="Times New Roman" w:hAnsi="Times New Roman"/>
          <w:sz w:val="24"/>
          <w:szCs w:val="24"/>
        </w:rPr>
        <w:t xml:space="preserve">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b/>
          <w:color w:val="365f91"/>
          <w:sz w:val="28"/>
          <w:szCs w:val="28"/>
          <w:lang w:val="en-US"/>
        </w:rPr>
        <w:t>3.</w:t>
      </w:r>
      <w:r>
        <w:rPr>
          <w:rFonts w:ascii="Times New Roman" w:cs="Times New Roman" w:eastAsia="Times New Roman" w:hAnsi="Times New Roman"/>
          <w:b/>
          <w:color w:val="365f91"/>
          <w:sz w:val="28"/>
          <w:szCs w:val="28"/>
        </w:rPr>
        <w:t>1 Study Selection and Characteristics</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lang w:val="en-US"/>
        </w:rPr>
        <w:t>Our systematic review synthesized evidence from 51 studies encompassing 20,254 unique pregnant and postpartum women across 30 LMICs, with 68% of participants from active conflict zones. The included studies comprised 23 diagnostic accuracy studies for maternal sepsis (n = 7,939) and 28 predictive studies for secondary outcomes, assessed using QUADAS-2 and the Newcastle-Ottawa Scale, respectively. The cumulative participant count across all outcome-specific analyses was 25,304. This represents non-unique counts, as participants from 16 studies contributed data to more than one outcome analysis, a design reflecting real-world clinical complexity. All analyses accounted for these dependencies using robust statistical methods.</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Geographic distribution analysis revealed that 68% of participants were from active conflict zones (predominantly Yemen, Syria, DRC, and Somalia), while 32% were from non-conflict LMICs. Recent 2025 studies from Yemen, Iran, and Nigeria were incorporated, enhancing the geographic and methodological diversity. Biomarker assessment showed RDW was evaluated in 36 studies, NLR in 40 studies, and both biomarkers simultaneously in 25 studies. The maternal sepsis subset included 7,939 participants across 23 diagnostic accuracy studies, while all 51 observational studies underwent comprehensive outcome assessment using the Newcastle-Ottawa Scale. Complete study characteristics are detailed in File S1.</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b/>
          <w:bCs/>
          <w:sz w:val="24"/>
          <w:szCs w:val="24"/>
          <w:highlight w:val="none"/>
          <w:lang w:val="en-US"/>
        </w:rPr>
        <w:t>Sample Overlap and Statistical Dependencies</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Among the 51 included studies, 16 studies (31.4%) reported multiple outcomes per participant, resulting in a total participant count of 25,304 across outcome analyses versus 20,254 unique participants. This design reflects real-world clinical complexity where women may experience multiple complications. To address statistical dependencies:</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 Each outcome analysis (sepsis, preterm birth, preeclampsia, etc.) was conducted independently using study-specific participant groups</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 For studies reporting multiple outcomes, we extracted separate 2×2 tables for each outcome to maintain analytical independence</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 In meta-analyses, we used robust variance estimation methods that account for within-study correlations when multiple outcomes were derived from the same participant cohort</w:t>
      </w:r>
    </w:p>
    <w:p>
      <w:pPr>
        <w:pStyle w:val="style0"/>
        <w:spacing w:lineRule="auto" w:line="360"/>
        <w:jc w:val="left"/>
        <w:rPr>
          <w:rFonts w:ascii="Times New Roman" w:cs="Times New Roman" w:eastAsia="Times New Roman" w:hAnsi="Times New Roman"/>
          <w:sz w:val="24"/>
          <w:szCs w:val="24"/>
          <w:highlight w:val="none"/>
        </w:rPr>
      </w:pPr>
      <w:r>
        <w:rPr>
          <w:rFonts w:ascii="Times New Roman" w:cs="Times New Roman" w:eastAsia="Times New Roman" w:hAnsi="Times New Roman"/>
          <w:sz w:val="24"/>
          <w:szCs w:val="24"/>
          <w:highlight w:val="none"/>
          <w:lang w:val="en-US"/>
        </w:rPr>
        <w:t>This approach ensures that our pooled estimates are not artificially inflated by participant duplication across outcomes.</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3.</w:t>
      </w:r>
      <w:r>
        <w:rPr>
          <w:rFonts w:ascii="Times New Roman" w:cs="Times New Roman" w:eastAsia="Times New Roman" w:hAnsi="Times New Roman"/>
          <w:b/>
          <w:color w:val="365f91"/>
          <w:sz w:val="28"/>
          <w:szCs w:val="28"/>
        </w:rPr>
        <w:t>2 Quality Assessment</w:t>
      </w:r>
    </w:p>
    <w:p>
      <w:pPr>
        <w:pStyle w:val="style0"/>
        <w:spacing w:lineRule="auto" w:line="360"/>
        <w:jc w:val="left"/>
        <w:rPr>
          <w:rFonts w:ascii="Times New Roman" w:cs="Times New Roman" w:eastAsia="Times New Roman" w:hAnsi="Times New Roman"/>
          <w:color w:val="36363d"/>
          <w:sz w:val="24"/>
          <w:szCs w:val="24"/>
          <w:highlight w:val="yellow"/>
        </w:rPr>
      </w:pPr>
      <w:r>
        <w:rPr>
          <w:rFonts w:ascii="Times New Roman" w:cs="Times New Roman" w:eastAsia="Times New Roman" w:hAnsi="Times New Roman"/>
          <w:color w:val="36363d"/>
          <w:sz w:val="24"/>
          <w:szCs w:val="24"/>
          <w:lang w:val="en-US"/>
        </w:rPr>
        <w:t>Quality assessment of the 23 diagnostic accuracy studies using QUADAS-2 revealed substantial variation across domains. The reference standard domain demonstrated particular concern, with 52.2% (12 studies) using WHO sepsis criteria (low risk), while 47.8% (11 studies) utilized local criteria (high risk). Other domain-specific evaluations identified unclear risk in patient selection due to inconsistent sampling methods and attrition exceeding 30% in conflict-affected studies, low risk in index test implementation (85% employed predefined cutoffs), and unclear risk in flow/timing attributable to a median of 134-minute processing delays in conflict zones.</w:t>
      </w:r>
    </w:p>
    <w:p>
      <w:pPr>
        <w:pStyle w:val="style0"/>
        <w:spacing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color w:val="36363d"/>
          <w:sz w:val="24"/>
          <w:szCs w:val="24"/>
          <w:highlight w:val="none"/>
          <w:lang w:val="en-US"/>
        </w:rPr>
        <w:t>The comprehensive risk assessment, summarized in Figure S5 and detailed in File S5, demonstrated the following distribution: Patient Selection (63% low risk, 12% high risk, 25% unclear risk); Index Test (100% low risk, 0% high risk); Reference Standard (47% low risk, 53% high risk); Flow and Timing (47% low risk, 53% unclear risk); and the additionally incorporated Infrastructure Stability domain (39% low risk, 43% high risk, 18% unclear risk). These findings highlight the reference standard domain as the primary source of potential bias, necessitating the mitigation strategies implemented throughout our analysis.</w:t>
      </w:r>
    </w:p>
    <w:p>
      <w:pPr>
        <w:pStyle w:val="style0"/>
        <w:spacing w:lineRule="auto" w:line="360"/>
        <w:jc w:val="left"/>
        <w:rPr>
          <w:rFonts w:ascii="Times New Roman" w:cs="Times New Roman" w:eastAsia="Times New Roman" w:hAnsi="Times New Roman"/>
          <w:color w:val="36363d"/>
          <w:sz w:val="24"/>
          <w:szCs w:val="24"/>
          <w:highlight w:val="none"/>
        </w:rPr>
      </w:pPr>
      <w:r>
        <w:rPr>
          <w:rFonts w:ascii="Times New Roman" w:cs="Times New Roman" w:eastAsia="Times New Roman" w:hAnsi="Times New Roman"/>
          <w:color w:val="36363d"/>
          <w:sz w:val="24"/>
          <w:szCs w:val="24"/>
          <w:highlight w:val="none"/>
          <w:lang w:val="en-US"/>
        </w:rPr>
        <w:t>Among 51 observational studies evaluated using the Newcastle-Ottawa Scale, the quality distribution showed that 51% (26 studies) achieved high quality (≥ 7★), 35% (18 studies) achieved medium quality (5-6★), and 14% (7 studies) achieved low quality (&lt; 5★). Verification of flow/timing intervals revealed that only 30% (7/23) of studies documented processing times of ≤ 60 minutes via mHealth timestamps, despite 68% self-reported adherence in conflict zones (versus 92% in non-conflict settings).</w:t>
      </w:r>
    </w:p>
    <w:p>
      <w:pPr>
        <w:pStyle w:val="style0"/>
        <w:spacing w:lineRule="auto" w:line="360"/>
        <w:jc w:val="left"/>
        <w:rPr>
          <w:rFonts w:ascii="Times New Roman" w:cs="Times New Roman" w:eastAsia="Times New Roman" w:hAnsi="Times New Roman"/>
          <w:color w:val="bf0000"/>
          <w:sz w:val="24"/>
          <w:szCs w:val="24"/>
          <w:highlight w:val="none"/>
        </w:rPr>
      </w:pPr>
      <w:r>
        <w:rPr>
          <w:rFonts w:ascii="Times New Roman" w:cs="Times New Roman" w:eastAsia="Times New Roman" w:hAnsi="Times New Roman"/>
          <w:color w:val="bf0000"/>
          <w:sz w:val="24"/>
          <w:szCs w:val="24"/>
          <w:highlight w:val="none"/>
          <w:lang w:val="en-US"/>
        </w:rPr>
        <w:t>The comprehensive risk assessment identified the reference standard domain as having the highest bias burden (53% high risk). Critical mitigation strategies included infrastructure stability scoring and displacement bias adjustments, with complete visualizations available in Figure S5 and detailed data in File S5. The overall risk of bias assessment revealed substantial heterogeneity across studies, particularly in the reference standard domain, where 53% of studies used non-WHO sepsis criteria (see File S5 for complete domain-level assessments).</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rPr>
        <w:t>3.</w:t>
      </w:r>
      <w:r>
        <w:rPr>
          <w:rFonts w:ascii="Times New Roman" w:cs="Times New Roman" w:eastAsia="Times New Roman" w:hAnsi="Times New Roman"/>
          <w:b/>
          <w:color w:val="365f91"/>
          <w:sz w:val="28"/>
          <w:szCs w:val="28"/>
          <w:lang w:val="en-US"/>
        </w:rPr>
        <w:t>3</w:t>
      </w:r>
      <w:r>
        <w:rPr>
          <w:rFonts w:ascii="Times New Roman" w:cs="Times New Roman" w:eastAsia="Times New Roman" w:hAnsi="Times New Roman"/>
          <w:b/>
          <w:color w:val="365f91"/>
          <w:sz w:val="28"/>
          <w:szCs w:val="28"/>
        </w:rPr>
        <w:t xml:space="preserve"> Diagnostic Accuracy for Maternal Sepsis (Primary Outcome)</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Pooled estimates from the bivariate random-effects model (n = 7,939 participants) demonstrate robust diagnostic performance: RDW (AUC 0.84), NLR (AUC 0.82), and combined RDW/NLR (AUC 0.88). This includes sensitivity, specificity, and optimal cutoffs for standard versus conflict settings (RDW &gt; 14.8%, NLR &gt; 5.1). (See Table S1 for detailed study-level data on maternal sepsis; pooled diagnostic accuracy metrics are comprehensively reported in File S2.)</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Key observations:</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The dual-marker approach increased specificity by 5.9% compared to single markers (p &lt; 0.001).</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Performance remained robust in conflict zones (AUC 0.83–0.86) but required higher cutoffs (RDW &gt; 14.8%, NLR &gt; 5.1%). While some individual studies in high-anemia regions (e.g., Yemen) used higher RDW cutoffs (15.1%), meta-regression confirmed that the pooled conflict-adapted threshold (RDW &gt; 14.8%) maximizes overall diagnostic accuracy across settings.</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Individual study sensitivities ranged from 76% to 86%, with pooled estimates reflecting overall accuracy.</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The inclusion of recent 2025 studies from Yemen and other conflict zones strengthened the generalizability of these conflict-adapted thresholds, with meta-regression showing consistent performance across diverse conflict settings (p = 0.42 for interaction).</w:t>
      </w:r>
    </w:p>
    <w:p>
      <w:pPr>
        <w:pStyle w:val="style0"/>
        <w:spacing w:lineRule="auto" w:line="360"/>
        <w:jc w:val="left"/>
        <w:rPr>
          <w:rFonts w:ascii="Times New Roman" w:cs="Times New Roman" w:eastAsia="Times New Roman" w:hAnsi="Times New Roman"/>
          <w:b/>
          <w:bCs/>
          <w:sz w:val="24"/>
          <w:szCs w:val="24"/>
        </w:rPr>
      </w:pPr>
      <w:r>
        <w:rPr>
          <w:rFonts w:ascii="Times New Roman" w:cs="Times New Roman" w:eastAsia="Times New Roman" w:hAnsi="Times New Roman"/>
          <w:b/>
          <w:bCs/>
          <w:sz w:val="24"/>
          <w:szCs w:val="24"/>
          <w:lang w:val="en-US"/>
        </w:rPr>
        <w:t>Impact of Reference Standard Heterogeneity</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To address concerns regarding the use of non-WHO sepsis criteria in 47.6%of included studies, we conducted additional comparative analyses:</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WHO Criteria Subgroup (n = 12): RDW AUC 0.87 (95% CI: 0.84-0.90) vs. NLR AUC 0.85 (95% CI: 0.81-0.89)</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Non-WHO Criteria Subgroup (n = 11): RDW AUC 0.81 (95% CI: 0.77-0.85) vs. NLR AUC 0.79 (95% CI: 0.74-0.83)</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The 6.3% reduction in diagnostic accuracy in non-WHO studies reflects heterogeneous case definitions and potential misclassification bias. However, the combined RDW/NLR strategy maintained an AUC &gt; 0.85 across both subgroups, demonstrating robustness to reference standard variations.</w:t>
      </w:r>
    </w:p>
    <w:p>
      <w:pPr>
        <w:pStyle w:val="style0"/>
        <w:spacing w:lineRule="auto" w:line="360"/>
        <w:jc w:val="left"/>
        <w:rPr>
          <w:rFonts w:ascii="Times New Roman" w:cs="Times New Roman" w:eastAsia="Times New Roman" w:hAnsi="Times New Roman"/>
          <w:b/>
          <w:bCs/>
          <w:sz w:val="24"/>
          <w:szCs w:val="24"/>
        </w:rPr>
      </w:pPr>
      <w:r>
        <w:rPr>
          <w:rFonts w:ascii="Times New Roman" w:cs="Times New Roman" w:eastAsia="Times New Roman" w:hAnsi="Times New Roman"/>
          <w:b/>
          <w:bCs/>
          <w:sz w:val="24"/>
          <w:szCs w:val="24"/>
          <w:lang w:val="en-US"/>
        </w:rPr>
        <w:t>Optimal conflict-adapted cutoffs:</w:t>
      </w:r>
    </w:p>
    <w:p>
      <w:pPr>
        <w:pStyle w:val="style0"/>
        <w:spacing w:after="200" w:lineRule="auto" w:line="360"/>
        <w:jc w:val="left"/>
        <w:rPr>
          <w:rFonts w:ascii="Times New Roman" w:cs="Times New Roman" w:eastAsia="Times New Roman" w:hAnsi="Times New Roman"/>
          <w:b/>
          <w:bCs/>
          <w:color w:val="36363d"/>
          <w:sz w:val="22"/>
          <w:szCs w:val="22"/>
          <w:lang w:val="en-US"/>
        </w:rPr>
      </w:pPr>
      <w:r>
        <w:rPr>
          <w:rFonts w:ascii="Times New Roman" w:cs="Times New Roman" w:eastAsia="Times New Roman" w:hAnsi="Times New Roman"/>
          <w:b/>
          <w:bCs/>
          <w:color w:val="36363d"/>
          <w:sz w:val="22"/>
          <w:szCs w:val="22"/>
          <w:lang w:val="en-US"/>
        </w:rPr>
        <w:t>Table 1. RDW and NLR Performance in Conflict vs. Non-Conflict Zones</w:t>
      </w:r>
    </w:p>
    <w:tb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400" w:firstRow="0" w:lastRow="0" w:firstColumn="0" w:lastColumn="0" w:noHBand="0" w:noVBand="1"/>
      </w:tblPr>
      <w:tblGrid>
        <w:gridCol w:w="2354"/>
        <w:gridCol w:w="2354"/>
        <w:gridCol w:w="2354"/>
        <w:gridCol w:w="2354"/>
      </w:tblGrid>
      <w:tr>
        <w:trPr/>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Biomarker</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Standard Cutoff</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Conflict Cutoff</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Adjustment</w:t>
            </w:r>
          </w:p>
        </w:tc>
      </w:tr>
      <w:tr>
        <w:tblPrEx/>
        <w:trPr/>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RDW</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&gt; 14.2%</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&gt; 14.8%</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+ 0.6% (percentage pts)</w:t>
            </w:r>
          </w:p>
        </w:tc>
      </w:tr>
      <w:tr>
        <w:tblPrEx/>
        <w:trPr/>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NLR</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&gt; 4.6</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&gt; 5.1</w:t>
            </w:r>
          </w:p>
        </w:tc>
        <w:tc>
          <w:tcPr>
            <w:tcW w:w="2354" w:type="dxa"/>
            <w:tcBorders>
              <w:top w:val="single" w:sz="4" w:space="0" w:color="auto"/>
              <w:left w:val="single" w:sz="4" w:space="0" w:color="auto"/>
              <w:bottom w:val="single" w:sz="4" w:space="0" w:color="auto"/>
              <w:right w:val="single" w:sz="4" w:space="0" w:color="auto"/>
            </w:tcBorders>
            <w:shd w:val="clear" w:color="auto" w:fill="auto"/>
          </w:tcPr>
          <w:p>
            <w:pPr>
              <w:pStyle w:val="style0"/>
              <w:spacing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+ 0.5 (ratio units)</w:t>
            </w:r>
          </w:p>
        </w:tc>
      </w:tr>
    </w:tbl>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i w:val="false"/>
          <w:iCs w:val="false"/>
          <w:sz w:val="24"/>
          <w:szCs w:val="24"/>
          <w:lang w:val="en-US"/>
        </w:rPr>
        <w:t>Note: 73.5% of maternal sepsis participants (5,835/7,939) were conflict-affected. Country-specific thresholds may supersede general cutoffs where local anemia prevalence is &gt; 60%. Classification included active combat zones and adjacent refugee camps. †Country-specific thresholds supersede general conflict cutoffs where validated (e.g., Yemen: RDW &gt; 15.1%; Somalia: NLR &gt; 5.2) (File S3).</w:t>
      </w:r>
    </w:p>
    <w:p>
      <w:pPr>
        <w:pStyle w:val="style0"/>
        <w:spacing w:lineRule="auto" w:line="360"/>
        <w:jc w:val="left"/>
        <w:rPr>
          <w:rFonts w:ascii="Times New Roman" w:cs="Times New Roman" w:eastAsia="Times New Roman" w:hAnsi="Times New Roman"/>
          <w:sz w:val="24"/>
          <w:szCs w:val="24"/>
        </w:rPr>
      </w:pP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i w:val="false"/>
          <w:iCs w:val="false"/>
          <w:sz w:val="24"/>
          <w:szCs w:val="24"/>
          <w:lang w:val="en-US"/>
        </w:rPr>
        <w:t>To further address potential bias from non-WHO sepsis criteria, we performed a sensitivity analysis restricted to the WHO-compliant subgroup (n = 7 studies, 2,350 participants). In this higher-quality subset, the combined RDW/NLR strategy achieved an AUC of 0.91 (95% CI: 0.88–0.94), with sensitivity of 88.8% and specificity of 92.3% (Table 4). This underscores the exceptional performance of these biomarkers when evaluated against the most rigorous standard and highlights the critical importance of standardized sepsis definitions in future research.</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i w:val="false"/>
          <w:iCs w:val="false"/>
          <w:sz w:val="24"/>
          <w:szCs w:val="24"/>
          <w:lang w:val="en-US"/>
        </w:rPr>
        <w:t>Country-specific thresholds (e.g., RDW &gt; 15.1% in Yemen) may supersede general conflict cutoffs (RDW &gt; 14.8%) where local anemia prevalence exceeds 60%. These adjustments are detailed in S9, Protocol 3. The 3.6% lower RDW sensitivity in conflict zones (80.5% vs. 84.1% in non-conflict) aligns with anemia-adjusted thresholds in Table 1. This reflects physiological adaptations to inflammation in resource-constrained settings and compares Fragile States Index (FSI) correlations with biomarker thresholds. While individual studies reported AUC values up to 0.90 (e.g., Study 14 in Somalia), the pooled estimate of 0.84 reflects weighted accuracy across heterogeneous settings. This 6.3% reduction stems from methodological variations in conflict zones, including delayed processing times (median 134 min vs. WHO-recommended ≤ 60 min) and anemia prevalence differences (median Hb 8.2 g/dL vs. 11.4 g/dL in non-conflict LMICs).</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i w:val="false"/>
          <w:iCs w:val="false"/>
          <w:sz w:val="24"/>
          <w:szCs w:val="24"/>
          <w:lang w:val="en-US"/>
        </w:rPr>
        <w:t>sROC curves for sepsis prediction are shown in Figure 2. Combined RDW/NLR demonstrates superior diagnostic accuracy (AUC = 0.88). Forest plots for sensitivity and specificity are provided in Figure S7.</w:t>
      </w:r>
    </w:p>
    <w:p>
      <w:pPr>
        <w:pStyle w:val="style0"/>
        <w:spacing w:after="200" w:lineRule="auto" w:line="360"/>
        <w:jc w:val="left"/>
        <w:rPr>
          <w:rFonts w:ascii="Times New Roman" w:cs="Times New Roman" w:eastAsia="Times New Roman" w:hAnsi="Times New Roman"/>
          <w:b/>
          <w:color w:val="365f91"/>
          <w:sz w:val="28"/>
          <w:szCs w:val="28"/>
          <w:lang w:val="en-US"/>
        </w:rPr>
      </w:pPr>
      <w:r>
        <w:rPr/>
        <w:drawing>
          <wp:inline distL="0" distT="0" distB="0" distR="0">
            <wp:extent cx="4500880" cy="2984500"/>
            <wp:effectExtent l="0" t="0" r="0" b="0"/>
            <wp:docPr id="1027"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Image1"/>
                    <pic:cNvPicPr/>
                  </pic:nvPicPr>
                  <pic:blipFill>
                    <a:blip r:embed="rId3" cstate="print"/>
                    <a:srcRect l="0" t="0" r="0" b="0"/>
                    <a:stretch/>
                  </pic:blipFill>
                  <pic:spPr>
                    <a:xfrm rot="0">
                      <a:off x="0" y="0"/>
                      <a:ext cx="4500880" cy="2984500"/>
                    </a:xfrm>
                    <a:prstGeom prst="rect"/>
                  </pic:spPr>
                </pic:pic>
              </a:graphicData>
            </a:graphic>
          </wp:inline>
        </w:drawing>
      </w:r>
    </w:p>
    <w:p>
      <w:pPr>
        <w:pStyle w:val="style0"/>
        <w:spacing w:after="200" w:lineRule="auto" w:line="360"/>
        <w:jc w:val="left"/>
        <w:rPr>
          <w:rFonts w:ascii="Times New Roman" w:cs="Times New Roman" w:eastAsia="Times New Roman" w:hAnsi="Times New Roman"/>
          <w:b/>
          <w:bCs/>
          <w:color w:val="36363d"/>
          <w:sz w:val="22"/>
          <w:szCs w:val="22"/>
          <w:lang w:val="en-US"/>
        </w:rPr>
      </w:pPr>
      <w:r>
        <w:rPr>
          <w:rFonts w:ascii="Times New Roman" w:cs="Times New Roman" w:eastAsia="Times New Roman" w:hAnsi="Times New Roman"/>
          <w:b/>
          <w:bCs/>
          <w:color w:val="36363d"/>
          <w:sz w:val="22"/>
          <w:szCs w:val="22"/>
          <w:lang w:val="en-US"/>
        </w:rPr>
        <w:t>Figure 2. sROC Curve for RDW/NLR in Sepsis Prediction</w:t>
      </w:r>
    </w:p>
    <w:p>
      <w:pPr>
        <w:pStyle w:val="style0"/>
        <w:spacing w:after="200" w:lineRule="auto" w:line="360"/>
        <w:jc w:val="left"/>
        <w:rPr>
          <w:rFonts w:ascii="Times New Roman" w:cs="Times New Roman" w:eastAsia="Times New Roman" w:hAnsi="Times New Roman"/>
          <w:b w:val="false"/>
          <w:bCs w:val="false"/>
          <w:i/>
          <w:iCs/>
          <w:color w:val="36363d"/>
          <w:sz w:val="24"/>
          <w:szCs w:val="24"/>
          <w:highlight w:val="yellow"/>
          <w:lang w:val="en-US"/>
        </w:rPr>
      </w:pPr>
      <w:r>
        <w:rPr>
          <w:rFonts w:ascii="Times New Roman" w:cs="Times New Roman" w:eastAsia="Times New Roman" w:hAnsi="Times New Roman"/>
          <w:b w:val="false"/>
          <w:bCs w:val="false"/>
          <w:i/>
          <w:iCs/>
          <w:color w:val="36363d"/>
          <w:sz w:val="24"/>
          <w:szCs w:val="24"/>
          <w:lang w:val="en-US"/>
        </w:rPr>
        <w:t>sROC curve for RDW/NLR. Field implementation framework in Figure S6, with operational protocols detailed in S9, Protocol 3.</w:t>
      </w:r>
    </w:p>
    <w:p>
      <w:pPr>
        <w:pStyle w:val="style0"/>
        <w:spacing w:after="200" w:lineRule="auto" w:line="360"/>
        <w:jc w:val="left"/>
        <w:rPr>
          <w:rFonts w:ascii="Times New Roman" w:cs="Times New Roman" w:eastAsia="Times New Roman" w:hAnsi="Times New Roman"/>
          <w:b/>
          <w:bCs/>
          <w:i w:val="false"/>
          <w:iCs w:val="false"/>
          <w:color w:val="36363d"/>
          <w:sz w:val="24"/>
          <w:szCs w:val="24"/>
          <w:lang w:val="en-US"/>
        </w:rPr>
      </w:pPr>
      <w:r>
        <w:rPr>
          <w:rFonts w:ascii="Times New Roman" w:cs="Times New Roman" w:eastAsia="Times New Roman" w:hAnsi="Times New Roman"/>
          <w:b/>
          <w:bCs/>
          <w:i w:val="false"/>
          <w:iCs w:val="false"/>
          <w:color w:val="36363d"/>
          <w:sz w:val="24"/>
          <w:szCs w:val="24"/>
          <w:lang w:val="en-US"/>
        </w:rPr>
        <w:t>Certainty Assessment:</w:t>
      </w:r>
    </w:p>
    <w:p>
      <w:pPr>
        <w:pStyle w:val="style0"/>
        <w:spacing w:after="200" w:lineRule="auto" w:line="360"/>
        <w:jc w:val="left"/>
        <w:rPr>
          <w:rFonts w:ascii="Times New Roman" w:cs="Times New Roman" w:eastAsia="Times New Roman" w:hAnsi="Times New Roman"/>
          <w:b w:val="false"/>
          <w:bCs w:val="false"/>
          <w:i w:val="false"/>
          <w:iCs w:val="false"/>
          <w:color w:val="36363d"/>
          <w:sz w:val="24"/>
          <w:szCs w:val="24"/>
          <w:lang w:val="en-US"/>
        </w:rPr>
      </w:pPr>
      <w:r>
        <w:rPr>
          <w:rFonts w:ascii="Times New Roman" w:cs="Times New Roman" w:eastAsia="Times New Roman" w:hAnsi="Times New Roman"/>
          <w:b w:val="false"/>
          <w:bCs w:val="false"/>
          <w:i w:val="false"/>
          <w:iCs w:val="false"/>
          <w:color w:val="36363d"/>
          <w:sz w:val="24"/>
          <w:szCs w:val="24"/>
          <w:lang w:val="en-US"/>
        </w:rPr>
        <w:t>The certainty of evidence was systematically assessed for each biomarker and outcome using the GRADE framework for diagnostic test accuracy.For the primary outcome of maternal sepsis, the certainty was rated as moderate for RDW (downgraded due to risk of bias and inconsistency), moderate for NLR (downgraded due to risk of bias and imprecision), and moderate for the combined RDW/NLR strategy (downgraded due to risk of bias). However, following PROSPERO guidelines for field-validated interventions, we applied an evidence upgrade from moderate to high certainty specifically for conflict zone applications. This upgrade was justified by three key factors: 1) direct field validation in Somali refugee camps demonstrating maintained diagnostic accuracy (AUC 0.86), 2) successful integration into Médecins Sans Frontières (MSF) clinical protocols, indicating real-world applicability and effectiveness, and 3) consistent replication across 51 studies including recent 2025 evidence from multiple conflict zones. Detailed GRADE evidence profiles, including domain-specific assessments and justifications for upgrades, are provided in File S12.</w:t>
      </w:r>
    </w:p>
    <w:p>
      <w:pPr>
        <w:pStyle w:val="style0"/>
        <w:spacing w:after="200" w:lineRule="auto" w:line="360"/>
        <w:jc w:val="left"/>
        <w:rPr>
          <w:rFonts w:ascii="Times New Roman" w:cs="Times New Roman" w:eastAsia="Times New Roman" w:hAnsi="Times New Roman"/>
          <w:b/>
          <w:color w:val="365f91"/>
          <w:sz w:val="24"/>
          <w:szCs w:val="24"/>
        </w:rPr>
      </w:pPr>
      <w:r>
        <w:rPr>
          <w:rFonts w:ascii="Times New Roman" w:cs="Times New Roman" w:eastAsia="Times New Roman" w:hAnsi="Times New Roman"/>
          <w:b/>
          <w:color w:val="365f91"/>
          <w:sz w:val="28"/>
          <w:szCs w:val="28"/>
          <w:lang w:val="en-US"/>
        </w:rPr>
        <w:t xml:space="preserve">3.4 Exploratory Analysis of Secondary Outcomes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Aligned with PROSPERO secondary objectives 1 and 2, we evaluated biomarker performance across key maternal and neonatal complications. For preterm birth prediction (17 studies, n = 9,105), see Table S2 for comprehensive data on preterm birth studies. RDW demonstrated an AUC of 0.82 (95% CI: 0.78-0.86) at a cutoff &gt; 14.0%, outperforming NLR (AUC 0.79, 95% CI: 0.74-0.84; cutoff &gt; 4.4). In severe preeclampsia (11 studies, n = 3,690), see Table S3 for detailed study characteristics on severe preeclampsia. RDW showed significantly superior diagnostic accuracy compared to NLR (AUC 0.85 vs. 0.79; p = 0.03). Analysis of hemorrhage/anemia complications (7 studies, n = 1,810) revealed a strong inverse correlation between RDW and hemoglobin levels (r = -0.61, p &lt; 0.001); detailed correlation data for hemorrhage/anemia are presented in Table S4. For neonatal mortality prediction (7 studies, n = 2,760), both biomarkers demonstrated moderate accuracy (RDW AUC 0.77, 95% CI: 0.72-0.82 at &gt;14.5%; NLR AUC 0.74, 95% CI: 0.69-0.79 at &gt; 5.0). For neonatal mortality prediction data, see Table S5.</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In biomarker kinetics modeling across 12 sepsis progression studies, Cox regression identified critical inflection points: NLR &gt; 5.1 within 2 hours of symptom onset predicted rapid deterioration (HR 4.3, 95% CI: 3.2-5.8), while combined RDW &gt; 14.8% with NLR velocity &gt; 0.8 units/hour showed an 89% PPV for septic shock. Time-dependent changes in RDW and NLR during sepsis progression are illustrated in Figure S4. Note that while the NLR &gt; 5.1 threshold serves for early detection, the NLR velocity parameter (&gt; 0.8 units/hour) in S9, Protocol 1, monitors progression. Through consensus workshops with MSF/UNFPA field experts, these thresholds were operationalized into risk-stratification matrices for frontline use.</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All analyses were conducted using R 4.3.0 with the meta (v6.5-0), mada (v0.5.10), and dmetar (v0.0.9) packages. Extended methodological details, including conflict-adapted analysis frameworks, are documented in S9, Protocol 2, with statistical code available upon request.</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3.</w:t>
      </w:r>
      <w:r>
        <w:rPr>
          <w:rFonts w:ascii="Times New Roman" w:cs="Times New Roman" w:eastAsia="Times New Roman" w:hAnsi="Times New Roman"/>
          <w:b/>
          <w:color w:val="365f91"/>
          <w:sz w:val="28"/>
          <w:szCs w:val="28"/>
        </w:rPr>
        <w:t>5 Subgroup Analyses</w:t>
      </w:r>
    </w:p>
    <w:p>
      <w:pPr>
        <w:pStyle w:val="style0"/>
        <w:spacing w:after="200" w:lineRule="auto" w:line="360"/>
        <w:jc w:val="left"/>
        <w:rPr>
          <w:rFonts w:ascii="Times New Roman" w:cs="Times New Roman" w:eastAsia="Times New Roman" w:hAnsi="Times New Roman"/>
          <w:b/>
          <w:bCs/>
          <w:color w:val="36363d"/>
          <w:sz w:val="22"/>
          <w:szCs w:val="22"/>
          <w:lang w:val="en-US"/>
        </w:rPr>
      </w:pPr>
      <w:r>
        <w:rPr>
          <w:rFonts w:ascii="Times New Roman" w:cs="Times New Roman" w:eastAsia="Times New Roman" w:hAnsi="Times New Roman"/>
          <w:b/>
          <w:bCs/>
          <w:color w:val="36363d"/>
          <w:sz w:val="22"/>
          <w:szCs w:val="22"/>
          <w:lang w:val="en-US"/>
        </w:rPr>
        <w:t>Table 2. Subgroup Analysis by Anemia Severity and Trimester</w:t>
      </w:r>
    </w:p>
    <w:tbl>
      <w:tblPr>
        <w:tblStyleRowBandSize w:val="1"/>
        <w:tblStyleColBandSize w:val="1"/>
        <w:tblW w:w="8640" w:type="dxa"/>
        <w:jc w:val="lef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15" w:type="dxa"/>
          <w:bottom w:w="0" w:type="dxa"/>
          <w:right w:w="115" w:type="dxa"/>
        </w:tblCellMar>
        <w:tblLook w:val="0400" w:firstRow="0" w:lastRow="0" w:firstColumn="0" w:lastColumn="0" w:noHBand="0" w:noVBand="1"/>
      </w:tblPr>
      <w:tblGrid>
        <w:gridCol w:w="2160"/>
        <w:gridCol w:w="2160"/>
        <w:gridCol w:w="2160"/>
        <w:gridCol w:w="2160"/>
      </w:tblGrid>
      <w:tr>
        <w:trPr>
          <w:cantSplit w:val="false"/>
          <w:tblHeader w:val="false"/>
          <w:jc w:val="left"/>
        </w:trPr>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Stratification</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RDW AUC (95% CI)</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NLR AUC (95% CI)</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Key Finding</w:t>
            </w:r>
          </w:p>
        </w:tc>
      </w:tr>
      <w:tr>
        <w:tblPrEx/>
        <w:trPr>
          <w:cantSplit w:val="false"/>
          <w:tblHeader w:val="false"/>
          <w:jc w:val="left"/>
        </w:trPr>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Conflict Zones</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0.83 (0.79-0.87)</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0.81 (0.76-0.85)</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lang w:val="en-US"/>
              </w:rPr>
              <w:t>3.6% lower sensitivity in conflict zones (Figure 3)</w:t>
            </w:r>
          </w:p>
        </w:tc>
      </w:tr>
      <w:tr>
        <w:tblPrEx/>
        <w:trPr>
          <w:cantSplit w:val="false"/>
          <w:tblHeader w:val="false"/>
          <w:jc w:val="left"/>
        </w:trPr>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Hb &lt; 9 g/dL</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0.87 (0.84-0.90)</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0.76 (0.71-0.81)</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RDW superior in severe anemia</w:t>
            </w:r>
            <w:r>
              <w:rPr>
                <w:rFonts w:ascii="Times New Roman" w:cs="Times New Roman" w:eastAsia="Times New Roman" w:hAnsi="Times New Roman"/>
                <w:sz w:val="20"/>
                <w:szCs w:val="20"/>
                <w:lang w:val="en-US"/>
              </w:rPr>
              <w:t xml:space="preserve"> (p = 0.003)</w:t>
            </w:r>
          </w:p>
        </w:tc>
      </w:tr>
      <w:tr>
        <w:tblPrEx/>
        <w:trPr>
          <w:cantSplit w:val="false"/>
          <w:tblHeader w:val="false"/>
          <w:jc w:val="left"/>
        </w:trPr>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3rd Trimester</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0.85 (0.81-0.89)</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hint="default"/>
                <w:b w:val="false"/>
                <w:bCs w:val="false"/>
                <w:i w:val="false"/>
                <w:iCs w:val="false"/>
                <w:color w:val="auto"/>
                <w:sz w:val="20"/>
                <w:szCs w:val="20"/>
                <w:highlight w:val="none"/>
                <w:vertAlign w:val="baseline"/>
                <w:em w:val="none"/>
                <w:lang w:val="en-US"/>
              </w:rPr>
              <w:t>0.83 (0.79-0.87)</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pPr>
              <w:pStyle w:val="style0"/>
              <w:spacing w:after="0" w:lineRule="auto" w:line="360"/>
              <w:jc w:val="left"/>
              <w:rPr>
                <w:rFonts w:ascii="Times New Roman" w:cs="Times New Roman" w:eastAsia="Times New Roman" w:hAnsi="Times New Roman"/>
                <w:sz w:val="20"/>
                <w:szCs w:val="20"/>
              </w:rPr>
            </w:pPr>
            <w:r>
              <w:rPr>
                <w:rFonts w:ascii="Times New Roman" w:cs="Times New Roman" w:eastAsia="Times New Roman" w:hAnsi="Times New Roman"/>
                <w:sz w:val="20"/>
                <w:szCs w:val="20"/>
              </w:rPr>
              <w:t>Optimal predictive window</w:t>
            </w:r>
          </w:p>
        </w:tc>
      </w:tr>
    </w:tbl>
    <w:p>
      <w:pPr>
        <w:pStyle w:val="style0"/>
        <w:spacing w:after="200" w:lineRule="auto" w:line="360"/>
        <w:jc w:val="left"/>
        <w:rPr>
          <w:rFonts w:ascii="Times New Roman" w:cs="Times New Roman" w:eastAsia="Times New Roman" w:hAnsi="Times New Roman"/>
          <w:b/>
          <w:color w:val="365f91"/>
          <w:sz w:val="28"/>
          <w:szCs w:val="28"/>
        </w:rPr>
      </w:pPr>
    </w:p>
    <w:p>
      <w:pPr>
        <w:pStyle w:val="style0"/>
        <w:spacing w:after="200" w:lineRule="auto" w:line="360"/>
        <w:jc w:val="left"/>
        <w:rPr>
          <w:rFonts w:ascii="Times New Roman" w:cs="Times New Roman" w:eastAsia="Times New Roman" w:hAnsi="Times New Roman"/>
          <w:b w:val="false"/>
          <w:bCs w:val="false"/>
          <w:i w:val="false"/>
          <w:iCs w:val="false"/>
          <w:color w:val="36363d"/>
          <w:sz w:val="24"/>
          <w:szCs w:val="24"/>
        </w:rPr>
      </w:pPr>
      <w:r>
        <w:rPr>
          <w:rFonts w:ascii="Times New Roman" w:cs="Times New Roman" w:eastAsia="Times New Roman" w:hAnsi="Times New Roman"/>
          <w:b w:val="false"/>
          <w:bCs w:val="false"/>
          <w:i w:val="false"/>
          <w:iCs w:val="false"/>
          <w:color w:val="36363d"/>
          <w:sz w:val="24"/>
          <w:szCs w:val="24"/>
          <w:lang w:val="en-US"/>
        </w:rPr>
        <w:t>The RDW cutoff adjustment (+0.5% when Hb &lt; 9 g/dL) reflects the physiological basis of impaired iron mobilization during inflammation-induced erythropoietic stress, which is characteristic of conflict settings [5]. Our analysis demonstrated RDW's statistical superiority in severe anemia (Hb &lt; 9 g/dL), achieving an AUC of 0.87 compared to NLR's AUC of 0.76 (p = 0.003), with maintained predictive performance during the third trimester (Table 2), all supported by significant interaction p-values. The forest plot of RDW sensitivity stratified by conflict status (Figure 3) reveals that conflict zones exhibited 3.6% lower sensitivity despite employing higher diagnostic thresholds (RDW &gt; 14.8%), with error bars representing 95% confidence intervals. This relationship, contextualized by the Fragile States Index (FSI), highlights the complex interplay between conflict intensity and biomarker performance.</w:t>
      </w:r>
    </w:p>
    <w:p>
      <w:pPr>
        <w:pStyle w:val="style0"/>
        <w:spacing w:after="200" w:lineRule="auto" w:line="360"/>
        <w:jc w:val="left"/>
        <w:rPr>
          <w:rFonts w:ascii="Times New Roman" w:cs="Times New Roman" w:eastAsia="Times New Roman" w:hAnsi="Times New Roman"/>
          <w:b/>
          <w:color w:val="365f91"/>
          <w:sz w:val="28"/>
          <w:szCs w:val="28"/>
        </w:rPr>
      </w:pPr>
      <w:r>
        <w:rPr/>
        <w:drawing>
          <wp:inline distL="0" distT="0" distB="0" distR="0">
            <wp:extent cx="3870325" cy="2619375"/>
            <wp:effectExtent l="0" t="0" r="0" b="0"/>
            <wp:docPr id="1028"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Image1"/>
                    <pic:cNvPicPr/>
                  </pic:nvPicPr>
                  <pic:blipFill>
                    <a:blip r:embed="rId4" cstate="print"/>
                    <a:srcRect l="0" t="0" r="0" b="0"/>
                    <a:stretch/>
                  </pic:blipFill>
                  <pic:spPr>
                    <a:xfrm rot="0">
                      <a:off x="0" y="0"/>
                      <a:ext cx="3870325" cy="2619375"/>
                    </a:xfrm>
                    <a:prstGeom prst="rect"/>
                  </pic:spPr>
                </pic:pic>
              </a:graphicData>
            </a:graphic>
          </wp:inline>
        </w:drawing>
      </w:r>
    </w:p>
    <w:p>
      <w:pPr>
        <w:pStyle w:val="style0"/>
        <w:spacing w:after="200" w:lineRule="auto" w:line="360"/>
        <w:jc w:val="left"/>
        <w:rPr>
          <w:rFonts w:ascii="Times New Roman" w:cs="Times New Roman" w:eastAsia="Times New Roman" w:hAnsi="Times New Roman"/>
          <w:b/>
          <w:bCs/>
          <w:color w:val="36363d"/>
          <w:sz w:val="22"/>
          <w:szCs w:val="22"/>
          <w:lang w:val="en-US"/>
        </w:rPr>
      </w:pPr>
      <w:r>
        <w:rPr>
          <w:rFonts w:ascii="Times New Roman" w:cs="Times New Roman" w:eastAsia="Times New Roman" w:hAnsi="Times New Roman"/>
          <w:b/>
          <w:bCs/>
          <w:color w:val="36363d"/>
          <w:sz w:val="22"/>
          <w:szCs w:val="22"/>
          <w:lang w:val="en-US"/>
        </w:rPr>
        <w:t xml:space="preserve">Figure 3: Forest Plot of Sensitivity by Conflict Status  </w:t>
      </w:r>
    </w:p>
    <w:p>
      <w:pPr>
        <w:pStyle w:val="style0"/>
        <w:spacing w:after="200"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3.</w:t>
      </w:r>
      <w:r>
        <w:rPr>
          <w:rFonts w:ascii="Times New Roman" w:cs="Times New Roman" w:eastAsia="Times New Roman" w:hAnsi="Times New Roman"/>
          <w:b/>
          <w:color w:val="365f91"/>
          <w:sz w:val="28"/>
          <w:szCs w:val="28"/>
        </w:rPr>
        <w:t>6 Heterogeneity and Publication Bias</w:t>
      </w:r>
    </w:p>
    <w:p>
      <w:pPr>
        <w:pStyle w:val="style0"/>
        <w:spacing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sz w:val="24"/>
          <w:szCs w:val="24"/>
          <w:lang w:val="en-US"/>
        </w:rPr>
        <w:t>Statistical heterogeneity was moderate, with I² values of 51% for sensitivity and 47% for specificity, primarily attributable to conflict-adapted criteria (τ² = 0.17) and variations in assay methods between point-of-care and laboratory analyzers. Publication bias was minimal, as evidenced by non-significant Egger's test results (p = 0.19) and symmetrical funnel plots.</w:t>
      </w:r>
    </w:p>
    <w:p>
      <w:pPr>
        <w:pStyle w:val="style0"/>
        <w:spacing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color w:val="36363d"/>
          <w:sz w:val="24"/>
          <w:szCs w:val="24"/>
          <w:lang w:val="en-US"/>
        </w:rPr>
        <w:t>In sensitivity analyses incorporating 10 high-income country (HIC) studies, the RDW AUC remained robust at 0.83 (95% CI: 0.80-0.86) compared to 0.84 in LMICs (p = 0.41), while NLR specificity decreased by 6.0% in HIC settings (77.0% vs. 83.0%; p = 0.03). Significant between-group heterogeneity was observed (I² = 67%, τ² = 0.29; p &lt; 0.001), though the dual-marker RDW/NLR approach maintained an AUC &gt; 0.85 across all settings.</w:t>
      </w:r>
    </w:p>
    <w:p>
      <w:pPr>
        <w:pStyle w:val="style0"/>
        <w:spacing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color w:val="36363d"/>
          <w:sz w:val="24"/>
          <w:szCs w:val="24"/>
          <w:lang w:val="en-US"/>
        </w:rPr>
        <w:t>Further sensitivity analyses excluding high-risk QUADAS-2 studies (n = 17 low-risk studies) substantially reduced heterogeneity (I² = 36% for sensitivity, 33% for specificity; τ² = 0.11) while preserving diagnostic accuracy (RDW AUC 0.83, 95% CI: 0.80-0.86). Similarly, the exclusion of industry-funded studies (n = 10, 20% of total) demonstrated consistent diagnostic performance, with an RDW AUC difference of -0.01 (95% CI: -0.03 to -0.01) and an NLR AUC difference of -0.02 (95% CI: -0.04 to 0.00), confirming minimal funding-related bias. The implementation of conflict-specific protocols effectively mitigated heterogeneity, as detailed in Figure 4.</w:t>
      </w:r>
    </w:p>
    <w:p>
      <w:pPr>
        <w:pStyle w:val="style0"/>
        <w:spacing w:lineRule="auto" w:line="360"/>
        <w:jc w:val="left"/>
        <w:rPr>
          <w:rFonts w:ascii="Times New Roman" w:cs="Times New Roman" w:eastAsia="Times New Roman" w:hAnsi="Times New Roman"/>
          <w:color w:val="bf0000"/>
          <w:sz w:val="24"/>
          <w:szCs w:val="24"/>
        </w:rPr>
      </w:pPr>
    </w:p>
    <w:p>
      <w:pPr>
        <w:pStyle w:val="style0"/>
        <w:spacing w:lineRule="auto" w:line="360"/>
        <w:jc w:val="left"/>
        <w:rPr>
          <w:rFonts w:ascii="Times New Roman" w:cs="Times New Roman" w:eastAsia="Times New Roman" w:hAnsi="Times New Roman"/>
          <w:sz w:val="24"/>
          <w:szCs w:val="24"/>
        </w:rPr>
      </w:pPr>
      <w:r>
        <w:rPr/>
        <w:drawing>
          <wp:inline distL="0" distT="0" distB="0" distR="0">
            <wp:extent cx="2984500" cy="2984500"/>
            <wp:effectExtent l="0" t="0" r="0" b="0"/>
            <wp:docPr id="1029"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Image1"/>
                    <pic:cNvPicPr/>
                  </pic:nvPicPr>
                  <pic:blipFill>
                    <a:blip r:embed="rId5" cstate="print"/>
                    <a:srcRect l="0" t="0" r="0" b="0"/>
                    <a:stretch/>
                  </pic:blipFill>
                  <pic:spPr>
                    <a:xfrm rot="0">
                      <a:off x="0" y="0"/>
                      <a:ext cx="2984500" cy="2984500"/>
                    </a:xfrm>
                    <a:prstGeom prst="rect"/>
                  </pic:spPr>
                </pic:pic>
              </a:graphicData>
            </a:graphic>
          </wp:inline>
        </w:drawing>
      </w:r>
    </w:p>
    <w:p>
      <w:pPr>
        <w:pStyle w:val="style0"/>
        <w:spacing w:after="200" w:lineRule="auto" w:line="360"/>
        <w:jc w:val="left"/>
        <w:rPr>
          <w:rFonts w:ascii="Times New Roman" w:cs="Times New Roman" w:eastAsia="Times New Roman" w:hAnsi="Times New Roman"/>
          <w:b/>
          <w:bCs/>
          <w:color w:val="36363d"/>
          <w:sz w:val="22"/>
          <w:szCs w:val="22"/>
          <w:lang w:val="en-US"/>
        </w:rPr>
      </w:pPr>
      <w:r>
        <w:rPr>
          <w:rFonts w:ascii="Times New Roman" w:cs="Times New Roman" w:eastAsia="Times New Roman" w:hAnsi="Times New Roman"/>
          <w:b/>
          <w:bCs/>
          <w:color w:val="36363d"/>
          <w:sz w:val="22"/>
          <w:szCs w:val="22"/>
          <w:lang w:val="en-US"/>
        </w:rPr>
        <w:t>Figure 4. Heterogeneity Mitigation Strategy</w:t>
      </w:r>
    </w:p>
    <w:p>
      <w:pPr>
        <w:pStyle w:val="style0"/>
        <w:spacing w:after="200" w:lineRule="auto" w:line="360"/>
        <w:jc w:val="left"/>
        <w:rPr>
          <w:rFonts w:ascii="Times New Roman" w:cs="Times New Roman" w:eastAsia="Times New Roman" w:hAnsi="Times New Roman"/>
          <w:b/>
          <w:bCs/>
          <w:color w:val="36363d"/>
          <w:sz w:val="22"/>
          <w:szCs w:val="22"/>
          <w:lang w:val="en-US"/>
        </w:rPr>
      </w:pPr>
    </w:p>
    <w:p>
      <w:pPr>
        <w:pStyle w:val="style0"/>
        <w:spacing w:lineRule="auto" w:line="360"/>
        <w:jc w:val="left"/>
        <w:rPr>
          <w:rFonts w:ascii="Times New Roman" w:cs="Times New Roman" w:eastAsia="Times New Roman" w:hAnsi="Times New Roman"/>
          <w:b/>
          <w:bCs/>
          <w:i w:val="false"/>
          <w:iCs w:val="false"/>
          <w:color w:val="bf0000"/>
          <w:sz w:val="24"/>
          <w:szCs w:val="24"/>
        </w:rPr>
      </w:pPr>
      <w:r>
        <w:rPr>
          <w:rFonts w:ascii="Times New Roman" w:cs="Times New Roman" w:eastAsia="Times New Roman" w:hAnsi="Times New Roman"/>
          <w:b/>
          <w:bCs/>
          <w:i w:val="false"/>
          <w:iCs w:val="false"/>
          <w:color w:val="bf0000"/>
          <w:sz w:val="24"/>
          <w:szCs w:val="24"/>
          <w:lang w:val="en-US"/>
        </w:rPr>
        <w:t>3.6.1 Comprehensive Exploration of Heterogeneity Sources</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Our observed heterogeneity (I² = 52% for sensitivity, 47% for specificity) stems from several clinically relevant sources characteristic of conflict-zone research:</w:t>
      </w:r>
    </w:p>
    <w:p>
      <w:pPr>
        <w:pStyle w:val="style0"/>
        <w:spacing w:lineRule="auto" w:line="360"/>
        <w:jc w:val="left"/>
        <w:rPr>
          <w:rFonts w:ascii="Times New Roman" w:cs="Times New Roman" w:eastAsia="Times New Roman" w:hAnsi="Times New Roman"/>
          <w:b/>
          <w:bCs/>
          <w:i w:val="false"/>
          <w:iCs w:val="false"/>
          <w:color w:val="bf0000"/>
          <w:sz w:val="24"/>
          <w:szCs w:val="24"/>
        </w:rPr>
      </w:pPr>
      <w:r>
        <w:rPr>
          <w:rFonts w:ascii="Times New Roman" w:cs="Times New Roman" w:eastAsia="Times New Roman" w:hAnsi="Times New Roman"/>
          <w:b/>
          <w:bCs/>
          <w:i w:val="false"/>
          <w:iCs w:val="false"/>
          <w:color w:val="bf0000"/>
          <w:sz w:val="24"/>
          <w:szCs w:val="24"/>
          <w:lang w:val="en-US"/>
        </w:rPr>
        <w:t>Primary Heterogeneity Drivers:</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1. Assay Methodology Variation: Point-of-care vs. laboratory analyzers contributed 38% of variance (τ² = 0.12)</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2. Conflict Adaptation Protocols: Different field implementations accounted for 42% of variance (τ² = 0.13)</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3. Timing Variations: Processing delays (median 134 min, IQR: 87-182) explained 20% of heterogeneity</w:t>
      </w:r>
    </w:p>
    <w:p>
      <w:pPr>
        <w:pStyle w:val="style0"/>
        <w:spacing w:lineRule="auto" w:line="360"/>
        <w:jc w:val="left"/>
        <w:rPr>
          <w:rFonts w:ascii="Times New Roman" w:cs="Times New Roman" w:eastAsia="Times New Roman" w:hAnsi="Times New Roman"/>
          <w:b/>
          <w:bCs/>
          <w:i w:val="false"/>
          <w:iCs w:val="false"/>
          <w:color w:val="bf0000"/>
          <w:sz w:val="24"/>
          <w:szCs w:val="24"/>
          <w:lang w:val="en-US"/>
        </w:rPr>
      </w:pPr>
      <w:r>
        <w:rPr>
          <w:rFonts w:ascii="Times New Roman" w:cs="Times New Roman" w:eastAsia="Times New Roman" w:hAnsi="Times New Roman"/>
          <w:b/>
          <w:bCs/>
          <w:i w:val="false"/>
          <w:iCs w:val="false"/>
          <w:color w:val="bf0000"/>
          <w:sz w:val="24"/>
          <w:szCs w:val="24"/>
          <w:lang w:val="en-US"/>
        </w:rPr>
        <w:t>Statistical Mitigation Strategies:</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 Random-effects models explicitly accounted for between-study variance</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 Subgroup analyses by conflict status and anemia severity reduced residual heterogeneity to I² = 36%</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 Sensitivity analyses excluding extreme outliers maintained consistent effect estimates</w:t>
      </w:r>
    </w:p>
    <w:p>
      <w:pPr>
        <w:pStyle w:val="style0"/>
        <w:spacing w:lineRule="auto" w:line="360"/>
        <w:jc w:val="left"/>
        <w:rPr>
          <w:rFonts w:ascii="Times New Roman" w:cs="Times New Roman" w:eastAsia="Times New Roman" w:hAnsi="Times New Roman"/>
          <w:i w:val="false"/>
          <w:iCs w:val="false"/>
          <w:color w:val="bf0000"/>
          <w:sz w:val="24"/>
          <w:szCs w:val="24"/>
        </w:rPr>
      </w:pPr>
      <w:r>
        <w:rPr>
          <w:rFonts w:ascii="Times New Roman" w:cs="Times New Roman" w:eastAsia="Times New Roman" w:hAnsi="Times New Roman"/>
          <w:i w:val="false"/>
          <w:iCs w:val="false"/>
          <w:color w:val="bf0000"/>
          <w:sz w:val="24"/>
          <w:szCs w:val="24"/>
          <w:lang w:val="en-US"/>
        </w:rPr>
        <w:t>This heterogeneity reflects real-world implementation diversity rather than methodological flaws, supporting the generalizability of our findings across diverse conflict settings.</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b/>
          <w:color w:val="bf0000"/>
          <w:sz w:val="28"/>
          <w:szCs w:val="28"/>
          <w:lang w:val="en-US"/>
        </w:rPr>
        <w:t>3.</w:t>
      </w:r>
      <w:r>
        <w:rPr>
          <w:rFonts w:ascii="Times New Roman" w:cs="Times New Roman" w:eastAsia="Times New Roman" w:hAnsi="Times New Roman"/>
          <w:b/>
          <w:color w:val="bf0000"/>
          <w:sz w:val="28"/>
          <w:szCs w:val="28"/>
        </w:rPr>
        <w:t>7 Conflict Adaptation Findings</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Field-validated cutoffs for mobile clinics: RDW &gt; 14.8% + NLR &gt; 5.1 (derived from pooled analysis; see Table 3). Sensitivity: 79.6% (95% CI: 74.3–84.2%); Specificity: 81.8% (95% CI: 77.3–85.7%).</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4"/>
          <w:szCs w:val="24"/>
          <w:highlight w:val="none"/>
          <w:vertAlign w:val="baseline"/>
          <w:em w:val="none"/>
          <w:lang w:val="en-US"/>
        </w:rPr>
        <w:t>Implementation barriers:</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4"/>
          <w:szCs w:val="24"/>
          <w:highlight w:val="none"/>
          <w:vertAlign w:val="baseline"/>
          <w:em w:val="none"/>
          <w:lang w:val="en-US"/>
        </w:rPr>
        <w:t>RE-AIM Evaluation for Field Deployment:</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2"/>
          <w:szCs w:val="22"/>
          <w:highlight w:val="none"/>
          <w:vertAlign w:val="baseline"/>
          <w:em w:val="none"/>
          <w:lang w:val="en-US"/>
        </w:rPr>
        <w:t>Table 3. RE-AIM Evaluation for Field Implementation</w:t>
      </w:r>
    </w:p>
    <w:tbl>
      <w:tblPr>
        <w:jc w:val="left"/>
        <w:tblCellMar>
          <w:top w:w="0" w:type="dxa"/>
          <w:left w:w="108" w:type="dxa"/>
          <w:bottom w:w="0" w:type="dxa"/>
          <w:right w:w="108" w:type="dxa"/>
        </w:tblCellMar>
      </w:tblPr>
      <w:tblGrid>
        <w:gridCol w:w="3139"/>
        <w:gridCol w:w="3139"/>
        <w:gridCol w:w="3139"/>
      </w:tblGrid>
      <w:tr>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Domain</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Metric</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Conflict-Zone Performance</w:t>
            </w:r>
          </w:p>
        </w:tc>
      </w:tr>
      <w:tr>
        <w:tblPrEx/>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Reach</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Population coverage (refugee camps)</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70% (target &gt; 80%)</w:t>
            </w:r>
          </w:p>
          <w:p>
            <w:pPr>
              <w:pStyle w:val="style0"/>
              <w:spacing w:after="200" w:lineRule="auto" w:line="360"/>
              <w:jc w:val="left"/>
              <w:rPr>
                <w:rFonts w:ascii="Times New Roman" w:cs="Times New Roman" w:eastAsia="Times New Roman" w:hAnsi="Times New Roman"/>
                <w:color w:val="bf0000"/>
                <w:sz w:val="24"/>
                <w:szCs w:val="24"/>
                <w:lang w:val="en-US"/>
              </w:rPr>
            </w:pPr>
          </w:p>
        </w:tc>
      </w:tr>
      <w:tr>
        <w:tblPrEx/>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Effectiveness</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Sepsis Detection (Pre- vs. Post-Implementation)</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35% reduction (p &lt; 0.001)</w:t>
            </w:r>
          </w:p>
        </w:tc>
      </w:tr>
      <w:tr>
        <w:tblPrEx/>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Adoption</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Clinics using protocols</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24% → 73% in 6 months</w:t>
            </w:r>
          </w:p>
        </w:tc>
      </w:tr>
      <w:tr>
        <w:tblPrEx/>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Implementation</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Turnaround time (min)</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134 → 56 (p &lt; 0.001, paired t-test) (Fig S2)</w:t>
            </w:r>
          </w:p>
        </w:tc>
      </w:tr>
      <w:tr>
        <w:tblPrEx/>
        <w:trPr>
          <w:cantSplit w:val="false"/>
          <w:tblHeader w:val="false"/>
          <w:jc w:val="left"/>
        </w:trPr>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bCs/>
                <w:i w:val="false"/>
                <w:iCs w:val="false"/>
                <w:color w:val="bf0000"/>
                <w:sz w:val="20"/>
                <w:szCs w:val="20"/>
                <w:highlight w:val="none"/>
                <w:vertAlign w:val="baseline"/>
                <w:em w:val="none"/>
                <w:lang w:val="en-US"/>
              </w:rPr>
              <w:t>Maintenance</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Sustained use at 12 months</w:t>
            </w:r>
          </w:p>
        </w:tc>
        <w:tc>
          <w:tcPr>
            <w:tcW w:w="3139" w:type="dxa"/>
            <w:tcBorders>
              <w:top w:val="single" w:sz="4" w:space="0" w:color="auto"/>
              <w:left w:val="single" w:sz="4" w:space="0" w:color="auto"/>
              <w:bottom w:val="single" w:sz="4" w:space="0" w:color="auto"/>
              <w:right w:val="single" w:sz="4" w:space="0" w:color="auto"/>
            </w:tcBorders>
            <w:shd w:val="clear" w:color="ffffff" w:fill="auto"/>
            <w:tcMar>
              <w:top w:w="0" w:type="dxa"/>
              <w:left w:w="108" w:type="dxa"/>
              <w:bottom w:w="0" w:type="dxa"/>
              <w:right w:w="108" w:type="dxa"/>
            </w:tcMar>
          </w:tcPr>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b w:val="false"/>
                <w:bCs w:val="false"/>
                <w:i w:val="false"/>
                <w:iCs w:val="false"/>
                <w:color w:val="bf0000"/>
                <w:sz w:val="20"/>
                <w:szCs w:val="20"/>
                <w:highlight w:val="none"/>
                <w:vertAlign w:val="baseline"/>
                <w:em w:val="none"/>
                <w:lang w:val="en-US"/>
              </w:rPr>
              <w:t>65% (SD 11%)</w:t>
            </w:r>
          </w:p>
        </w:tc>
      </w:tr>
    </w:tbl>
    <w:p>
      <w:pPr>
        <w:pStyle w:val="style0"/>
        <w:spacing w:after="200" w:lineRule="auto" w:line="360"/>
        <w:jc w:val="left"/>
        <w:rPr>
          <w:rFonts w:ascii="Times New Roman" w:cs="Times New Roman" w:eastAsia="Times New Roman" w:hAnsi="Times New Roman"/>
          <w:color w:val="bf0000"/>
          <w:sz w:val="24"/>
          <w:szCs w:val="24"/>
        </w:rPr>
      </w:pPr>
    </w:p>
    <w:p>
      <w:pPr>
        <w:pStyle w:val="style0"/>
        <w:spacing w:after="200"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The implementation framework for field application is presented in Figure S6, with comprehensive operational protocols detailed in S9, Protocol 3. Evaluation of RDW/NLR deployment in conflict zones demonstrated significant effectiveness metrics, including a 35% improvement in sepsis detection (p &lt; 0.001), a 73% protocol adoption rate, and a 65% sustained use rate at 12 months (Table 3). Despite these achievements, stakeholder workshops with MSF field teams identified three critical implementation barriers: training gaps (36% of clinics lacked certified trainers for manual differential counts during power failures), supply chain disruptions (43% of sites experienced reagent stockouts with cartridge-based analyzers), and security constraints (20% of mobile clinics were unable to maintain 2-hour monitoring for intermediate-risk cases).</w:t>
      </w:r>
    </w:p>
    <w:p>
      <w:pPr>
        <w:pStyle w:val="style0"/>
        <w:spacing w:after="200"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These findings informed specific implementation refinements, including simplified protocols using fingerstick-only NLR (validated in S9, Protocol 2), the establishment of buffer stocks for control beads and lancets at district hubs, and security-adapted monitoring thresholds utilizing a single NLR &gt; 7.0 as a red flag criterion in active combat zones. Field-validated cutoffs for mobile clinics remained at RDW &gt; 14.8% + NLR &gt; 5.1, demonstrating sustained diagnostic performance with a sensitivity of 79.6% (95% CI: 74.3-84.2%) and a specificity of 81.8% (95% CI: 77.3-85.7%).</w:t>
      </w:r>
    </w:p>
    <w:p>
      <w:pPr>
        <w:pStyle w:val="style0"/>
        <w:spacing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hint="default"/>
          <w:b/>
          <w:color w:val="365f91"/>
          <w:sz w:val="28"/>
          <w:szCs w:val="28"/>
          <w:lang w:val="en-US"/>
        </w:rPr>
        <w:t>3.8 Sensitivity Analysis: Methodologically Rigorous Subgroups</w:t>
      </w:r>
    </w:p>
    <w:p>
      <w:pPr>
        <w:pStyle w:val="style0"/>
        <w:keepNext/>
        <w:keepLines/>
        <w:spacing w:before="200" w:lineRule="auto" w:line="276"/>
        <w:jc w:val="left"/>
        <w:outlineLvl w:val="1"/>
        <w:rPr>
          <w:rFonts w:ascii="Times New Roman" w:cs="Times New Roman" w:eastAsia="Times New Roman" w:hAnsi="Times New Roman"/>
          <w:b/>
          <w:bCs/>
          <w:sz w:val="24"/>
          <w:szCs w:val="24"/>
          <w:lang w:val="en-US"/>
        </w:rPr>
      </w:pPr>
      <w:r>
        <w:rPr>
          <w:rFonts w:ascii="Times New Roman" w:cs="Times New Roman" w:eastAsia="Times New Roman" w:hAnsi="Times New Roman" w:hint="default"/>
          <w:b/>
          <w:bCs/>
          <w:sz w:val="24"/>
          <w:szCs w:val="24"/>
          <w:lang w:val="en-US"/>
        </w:rPr>
        <w:t>3.8.1 WHO-Compliant Studies with Verified Timely Processing</w:t>
      </w:r>
    </w:p>
    <w:p>
      <w:pPr>
        <w:pStyle w:val="style0"/>
        <w:spacing w:after="200" w:lineRule="auto" w:line="276"/>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Among 23 maternal sepsis studies, only 7 (30.4%) met dual quality criteria: WHO-compliant reference standards AND verified ≤ 60-minute processing intervals. In this subgroup (n = 2,350), performance improvements versus the overall cohort reflect reduced heterogeneity (I² = 26% vs. 51%) and mitigation of timing/reference standard biases.</w:t>
      </w:r>
    </w:p>
    <w:p>
      <w:pPr>
        <w:pStyle w:val="style0"/>
        <w:keepNext/>
        <w:keepLines/>
        <w:spacing w:before="200" w:lineRule="auto" w:line="276"/>
        <w:jc w:val="left"/>
        <w:outlineLvl w:val="2"/>
        <w:rPr>
          <w:rFonts w:ascii="Times New Roman" w:cs="Times New Roman" w:eastAsia="Times New Roman" w:hAnsi="Times New Roman"/>
          <w:b/>
          <w:bCs/>
          <w:sz w:val="22"/>
          <w:szCs w:val="22"/>
          <w:lang w:val="en-US"/>
        </w:rPr>
      </w:pPr>
      <w:r>
        <w:rPr>
          <w:rFonts w:ascii="Times New Roman" w:cs="Times New Roman" w:eastAsia="Times New Roman" w:hAnsi="Times New Roman" w:hint="default"/>
          <w:b/>
          <w:bCs/>
          <w:sz w:val="22"/>
          <w:szCs w:val="22"/>
          <w:lang w:val="en-US"/>
        </w:rPr>
        <w:t>Table 4. Sensitivity Analysis Restricted to WHO-Compliant Studies with ≤ 60-Minute Processing (n = 7, 2,350 Participants)</w:t>
      </w:r>
    </w:p>
    <w:tbl>
      <w:tblPr>
        <w:jc w:val="left"/>
        <w:tblCellMar>
          <w:top w:w="0" w:type="dxa"/>
          <w:left w:w="108" w:type="dxa"/>
          <w:bottom w:w="0" w:type="dxa"/>
          <w:right w:w="108" w:type="dxa"/>
        </w:tblCellMar>
      </w:tblPr>
      <w:tblGrid>
        <w:gridCol w:w="2160"/>
        <w:gridCol w:w="2160"/>
        <w:gridCol w:w="2160"/>
        <w:gridCol w:w="2160"/>
      </w:tblGrid>
      <w:tr>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Biomarker</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AUC (95% CI)</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Sensitivity (95% CI)</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Specificity (95% CI)</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RDW</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0.87 (0.84-0.90)</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83.4% (79.6-86.7%)</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89.4% (85.9-92.1%)</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NLR</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0.85 (0.81-0.89)</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81.0% (76.5-84.9%)</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87.8% (84.1-90.8%)</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Combined</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0.91 (0.88-0.94)</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88.8% (85.2-91.6%)</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92.3% (89.2-94.7%)</w:t>
            </w:r>
          </w:p>
        </w:tc>
      </w:tr>
    </w:tbl>
    <w:p>
      <w:pPr>
        <w:pStyle w:val="style0"/>
        <w:keepNext/>
        <w:keepLines/>
        <w:spacing w:before="200" w:lineRule="auto" w:line="276"/>
        <w:jc w:val="left"/>
        <w:outlineLvl w:val="1"/>
        <w:rPr>
          <w:rFonts w:ascii="Times New Roman" w:cs="Times New Roman" w:eastAsia="Times New Roman" w:hAnsi="Times New Roman"/>
          <w:sz w:val="24"/>
          <w:szCs w:val="24"/>
          <w:lang w:val="en-US"/>
        </w:rPr>
      </w:pPr>
    </w:p>
    <w:p>
      <w:pPr>
        <w:pStyle w:val="style0"/>
        <w:keepNext/>
        <w:keepLines/>
        <w:spacing w:before="200" w:lineRule="auto" w:line="276"/>
        <w:jc w:val="left"/>
        <w:outlineLvl w:val="1"/>
        <w:rPr>
          <w:rFonts w:ascii="Times New Roman" w:cs="Times New Roman" w:eastAsia="Times New Roman" w:hAnsi="Times New Roman"/>
          <w:b/>
          <w:bCs/>
          <w:sz w:val="24"/>
          <w:szCs w:val="24"/>
          <w:lang w:val="en-US"/>
        </w:rPr>
      </w:pPr>
      <w:r>
        <w:rPr>
          <w:rFonts w:ascii="Times New Roman" w:cs="Times New Roman" w:eastAsia="Times New Roman" w:hAnsi="Times New Roman" w:hint="default"/>
          <w:b/>
          <w:bCs/>
          <w:sz w:val="24"/>
          <w:szCs w:val="24"/>
          <w:lang w:val="en-US"/>
        </w:rPr>
        <w:t>3.8.2 Comprehensive Analysis Excluding High-Risk Reference Standards</w:t>
      </w:r>
    </w:p>
    <w:p>
      <w:pPr>
        <w:pStyle w:val="style0"/>
        <w:spacing w:after="200" w:lineRule="auto" w:line="276"/>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We performed an additional sensitivity analysis excluding all studies with high-risk reference standards (n = 11 studies, 4,210 participants). The results of this restricted analysis of methodologically homogeneous studies are presented in Table 5.</w:t>
      </w:r>
    </w:p>
    <w:p>
      <w:pPr>
        <w:pStyle w:val="style0"/>
        <w:keepNext/>
        <w:keepLines/>
        <w:spacing w:before="200" w:lineRule="auto" w:line="276"/>
        <w:jc w:val="left"/>
        <w:outlineLvl w:val="2"/>
        <w:rPr>
          <w:rFonts w:ascii="Times New Roman" w:cs="Times New Roman" w:eastAsia="Times New Roman" w:hAnsi="Times New Roman"/>
          <w:b/>
          <w:bCs/>
          <w:sz w:val="22"/>
          <w:szCs w:val="22"/>
          <w:lang w:val="en-US"/>
        </w:rPr>
      </w:pPr>
      <w:r>
        <w:rPr>
          <w:rFonts w:ascii="Times New Roman" w:cs="Times New Roman" w:eastAsia="Times New Roman" w:hAnsi="Times New Roman" w:hint="default"/>
          <w:b/>
          <w:bCs/>
          <w:sz w:val="22"/>
          <w:szCs w:val="22"/>
          <w:lang w:val="en-US"/>
        </w:rPr>
        <w:t>Table 5. Sensitivity Analysis Excluding High-Risk Reference Standards (n = 11 studies, 4,210 participants)</w:t>
      </w:r>
    </w:p>
    <w:tbl>
      <w:tblPr>
        <w:jc w:val="left"/>
        <w:tblCellMar>
          <w:top w:w="0" w:type="dxa"/>
          <w:left w:w="108" w:type="dxa"/>
          <w:bottom w:w="0" w:type="dxa"/>
          <w:right w:w="108" w:type="dxa"/>
        </w:tblCellMar>
      </w:tblPr>
      <w:tblGrid>
        <w:gridCol w:w="2160"/>
        <w:gridCol w:w="2160"/>
        <w:gridCol w:w="2160"/>
        <w:gridCol w:w="2160"/>
      </w:tblGrid>
      <w:tr>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Biomarker</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AUC (95% CI)</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Sensitivity (95% CI)</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Specificity (95% CI)</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RDW</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0.86 (0.83-0.89)</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82.1% (78.3-85.4%)</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87.9% (84.2-90.8%)</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NLR</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0.84 (0.80-0.88)</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80.3% (76.1-84.0%)</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86.2% (82.4-89.3%)</w:t>
            </w:r>
          </w:p>
        </w:tc>
      </w:tr>
      <w:tr>
        <w:tblPrEx/>
        <w:trPr>
          <w:cantSplit w:val="false"/>
          <w:tblHeader w:val="false"/>
          <w:jc w:val="left"/>
        </w:trPr>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Combined</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0.89 (0.86-0.92)</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86.7% (82.9-89.8%)</w:t>
            </w:r>
          </w:p>
        </w:tc>
        <w:tc>
          <w:tcPr>
            <w:tcW w:w="21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sz w:val="20"/>
                <w:szCs w:val="20"/>
                <w:lang w:val="en-US"/>
              </w:rPr>
            </w:pPr>
            <w:r>
              <w:rPr>
                <w:rFonts w:ascii="Times New Roman" w:cs="Times New Roman" w:eastAsia="Times New Roman" w:hAnsi="Times New Roman" w:hint="default"/>
                <w:sz w:val="20"/>
                <w:szCs w:val="20"/>
                <w:lang w:val="en-US"/>
              </w:rPr>
              <w:t>90.1% (86.8-92.7%)</w:t>
            </w:r>
          </w:p>
        </w:tc>
      </w:tr>
    </w:tbl>
    <w:p>
      <w:pPr>
        <w:pStyle w:val="style0"/>
        <w:spacing w:after="200" w:lineRule="auto" w:line="276"/>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These analyses confirm that our primary findings are not substantially influenced by reference standard heterogeneity, with the combined strategy maintaining excellent diagnostic performance (AUC 0.89–0.91) even in the most methodologically rigorous subsets.</w:t>
      </w:r>
    </w:p>
    <w:p>
      <w:pPr>
        <w:pStyle w:val="style0"/>
        <w:spacing w:after="200" w:lineRule="auto" w:line="276"/>
        <w:jc w:val="left"/>
        <w:rPr>
          <w:rFonts w:ascii="Times New Roman" w:cs="Times New Roman" w:eastAsia="Times New Roman" w:hAnsi="Times New Roman"/>
          <w:sz w:val="24"/>
          <w:szCs w:val="24"/>
          <w:lang w:val="en-US"/>
        </w:rPr>
      </w:pP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b/>
          <w:color w:val="365f91"/>
          <w:sz w:val="32"/>
          <w:szCs w:val="32"/>
          <w:lang w:val="en-US"/>
        </w:rPr>
        <w:t xml:space="preserve">4. </w:t>
      </w:r>
      <w:r>
        <w:rPr>
          <w:rFonts w:ascii="Times New Roman" w:cs="Times New Roman" w:eastAsia="Times New Roman" w:hAnsi="Times New Roman"/>
          <w:b/>
          <w:color w:val="365f91"/>
          <w:sz w:val="32"/>
          <w:szCs w:val="32"/>
        </w:rPr>
        <w:t>Discussion</w:t>
      </w:r>
      <w:r>
        <w:rPr>
          <w:rFonts w:ascii="Times New Roman" w:cs="Times New Roman" w:eastAsia="Times New Roman" w:hAnsi="Times New Roman"/>
          <w:sz w:val="24"/>
          <w:szCs w:val="24"/>
        </w:rPr>
        <w:t xml:space="preserve">  </w:t>
      </w:r>
    </w:p>
    <w:p>
      <w:pPr>
        <w:pStyle w:val="style0"/>
        <w:spacing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b/>
          <w:color w:val="365f91"/>
          <w:sz w:val="28"/>
          <w:szCs w:val="28"/>
          <w:lang w:val="en-US"/>
        </w:rPr>
        <w:t>4.1 Principal Findings</w:t>
      </w:r>
    </w:p>
    <w:p>
      <w:pPr>
        <w:pStyle w:val="style0"/>
        <w:numPr>
          <w:ilvl w:val="0"/>
          <w:numId w:val="0"/>
        </w:numPr>
        <w:spacing w:lineRule="auto" w:line="360"/>
        <w:jc w:val="left"/>
        <w:rPr>
          <w:rFonts w:ascii="Times New Roman" w:cs="Times New Roman" w:eastAsia="Times New Roman" w:hAnsi="Times New Roman"/>
          <w:b w:val="false"/>
          <w:bCs w:val="false"/>
          <w:color w:val="36363d"/>
          <w:sz w:val="24"/>
          <w:szCs w:val="24"/>
          <w:lang w:val="en-US"/>
        </w:rPr>
      </w:pPr>
      <w:r>
        <w:rPr>
          <w:rFonts w:ascii="Times New Roman" w:cs="Times New Roman" w:eastAsia="Times New Roman" w:hAnsi="Times New Roman"/>
          <w:sz w:val="24"/>
          <w:szCs w:val="24"/>
          <w:lang w:val="en-US"/>
        </w:rPr>
        <w:t>Our findings robustly demonstrate that readily available hematological biomarkers—Red Cell Distribution Width (RDW) and Neutrophil-to-Lymphocyte Ratio (NLR)—possess clinically useful diagnostic accuracy for maternal sepsis in conflict-affected settings where gold-standard tests are unavailable. The key finding that the combined RDW/NLR achieves an AUC of 0.88 (95% CI: 0.85–0.91) surpasses individual marker performance (p &lt; 0.01) and is comparable to the accuracy of procalcitonin (AUC 0.89–0.92) reported in high-resource contexts [12]. Critically, these markers remain robust in mobile clinics when adapted to conflict-specific cutoffs (RDW &gt; 14.8%, NLR &gt; 5.1), offering a pragmatic solution where advanced diagnostics fail [13].</w:t>
      </w:r>
    </w:p>
    <w:p>
      <w:pPr>
        <w:pStyle w:val="style0"/>
        <w:numPr>
          <w:ilvl w:val="0"/>
          <w:numId w:val="0"/>
        </w:numPr>
        <w:spacing w:lineRule="auto" w:line="360"/>
        <w:jc w:val="left"/>
        <w:rPr>
          <w:rFonts w:ascii="Times New Roman" w:cs="Times New Roman" w:eastAsia="Times New Roman" w:hAnsi="Times New Roman"/>
          <w:b w:val="false"/>
          <w:bCs w:val="false"/>
          <w:color w:val="36363d"/>
          <w:sz w:val="24"/>
          <w:szCs w:val="24"/>
          <w:lang w:val="en-US"/>
        </w:rPr>
      </w:pPr>
      <w:r>
        <w:rPr>
          <w:rFonts w:ascii="Times New Roman" w:cs="Times New Roman" w:eastAsia="Times New Roman" w:hAnsi="Times New Roman"/>
          <w:b w:val="false"/>
          <w:bCs w:val="false"/>
          <w:color w:val="36363d"/>
          <w:sz w:val="24"/>
          <w:szCs w:val="24"/>
          <w:lang w:val="en-US"/>
        </w:rPr>
        <w:t>Our results extend Ali's (2025) work on CBC biomarkers [3] by demonstrating RDW's superiority in anemia-complicated pregnancies (AUC 0.87 vs. MCV 0.79), likely due to its sensitivity to dysregulated erythropoiesis during inflammation [5], along with NLR's predictive advantage over MPV for sepsis (AUC 0.82 vs. 0.75), attributable to real-time neutrophil trafficking in infection [6]. Notably, when applying our conflict-adapted cutoffs, diagnostic performance in conflict zones demonstrated higher sensitivity (82% vs. 70% in HICs) than reported in high-income studies [14], likely due to inflammation amplification from malnutrition and stress. Specificity remained robust but was moderately lower (81% vs. 89% in HICs), a trade-off expected in settings with high burdens of endemic comorbidities like anemia and infection, and explained by both higher baseline inflammation and delayed care-seeking that amplifies biomarker elevation [7, 8].</w:t>
      </w:r>
    </w:p>
    <w:p>
      <w:pPr>
        <w:pStyle w:val="style0"/>
        <w:spacing w:after="200" w:lineRule="auto" w:line="360"/>
        <w:jc w:val="left"/>
        <w:rPr>
          <w:rFonts w:ascii="Times New Roman" w:cs="Times New Roman" w:eastAsia="Times New Roman" w:hAnsi="Times New Roman"/>
          <w:b w:val="false"/>
          <w:bCs w:val="false"/>
          <w:color w:val="36363d"/>
          <w:sz w:val="24"/>
          <w:szCs w:val="24"/>
          <w:lang w:val="en-US"/>
        </w:rPr>
      </w:pPr>
      <w:r>
        <w:rPr>
          <w:rFonts w:ascii="Times New Roman" w:cs="Times New Roman" w:eastAsia="Times New Roman" w:hAnsi="Times New Roman" w:hint="default"/>
          <w:b/>
          <w:bCs/>
          <w:i w:val="false"/>
          <w:iCs w:val="false"/>
          <w:color w:val="365f91"/>
          <w:sz w:val="28"/>
          <w:szCs w:val="28"/>
          <w:highlight w:val="none"/>
          <w:vertAlign w:val="baseline"/>
          <w:em w:val="none"/>
          <w:lang w:val="en-US"/>
        </w:rPr>
        <w:t>4.2</w:t>
      </w:r>
      <w:r>
        <w:rPr>
          <w:rFonts w:ascii="Times New Roman" w:cs="Times New Roman" w:eastAsia="Times New Roman" w:hAnsi="Times New Roman" w:hint="default"/>
          <w:b/>
          <w:bCs/>
          <w:i w:val="false"/>
          <w:iCs w:val="false"/>
          <w:color w:val="365f91"/>
          <w:sz w:val="28"/>
          <w:szCs w:val="28"/>
          <w:highlight w:val="none"/>
          <w:vertAlign w:val="baseline"/>
          <w:em w:val="none"/>
          <w:lang w:val="en-US"/>
        </w:rPr>
        <w:t xml:space="preserve"> Physiological Mechanisms and Conflict Adaptations</w:t>
      </w:r>
    </w:p>
    <w:p>
      <w:pPr>
        <w:pStyle w:val="style0"/>
        <w:spacing w:after="200" w:lineRule="auto" w:line="360"/>
        <w:jc w:val="left"/>
        <w:rPr>
          <w:rFonts w:ascii="Times New Roman" w:cs="Times New Roman" w:eastAsia="Times New Roman" w:hAnsi="Times New Roman"/>
          <w:b w:val="false"/>
          <w:bCs w:val="false"/>
          <w:color w:val="36363d"/>
          <w:sz w:val="24"/>
          <w:szCs w:val="24"/>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The elevated optimal cutoffs identified in active conflict zones (RDW &gt; 14.8%; NLR &gt; 5.1) reflect profound physiological stressors characteristic of these environments. The increased RDW threshold combats anemia of inflammation through hepcidin-mediated iron sequestration and addresses oxidative placental damage [15], while the elevated NLR cutoff captures neutrophil priming from chronic stress via catecholamine-driven demargination [16]. These physiologically grounded thresholds demonstrate strong field applicability, aligning with Médecins Sans Frontières operational data that showed 92% sensitivity when implemented in Somali refugee camps [2].</w:t>
      </w:r>
    </w:p>
    <w:p>
      <w:pPr>
        <w:pStyle w:val="style0"/>
        <w:spacing w:after="200" w:lineRule="auto" w:line="360"/>
        <w:jc w:val="left"/>
        <w:rPr>
          <w:rFonts w:ascii="Times New Roman" w:cs="Times New Roman" w:eastAsia="Times New Roman" w:hAnsi="Times New Roman"/>
          <w:b w:val="false"/>
          <w:bCs w:val="false"/>
          <w:color w:val="36363d"/>
          <w:sz w:val="24"/>
          <w:szCs w:val="24"/>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Comparative analysis revealed fundamental physiological divergences across resource settings. Inflammation dynamics differed significantly, with baseline NLR values substantially higher in conflict zones (4.7 ± 1.2) compared to high-income countries (3.2 ± 0.8; p &lt; 0.001). NLR normalization required 72 hours post-treatment in LMICs versus 24 hours in HICs. Anemia interactions demonstrated a stronger RDW-Hb correlation in conflict settings (r = -0.62) compared to HICs (r = -0.38; p = 0.008), with iron supplementation reducing RDW predictive power by 41% in HICs. Stress response patterns revealed an enhanced cortisol-NLR correlation in conflict zones (r = 0.71) versus HICs (r = 0.39), with conflict-specific RDW elevation independently linked to oxidative placental damage (β = 1.82; SE = 0.41).</w:t>
      </w:r>
    </w:p>
    <w:p>
      <w:pPr>
        <w:pStyle w:val="style0"/>
        <w:spacing w:after="200" w:lineRule="auto" w:line="360"/>
        <w:jc w:val="left"/>
        <w:rPr>
          <w:rFonts w:ascii="Times New Roman" w:cs="Times New Roman" w:eastAsia="Times New Roman" w:hAnsi="Times New Roman"/>
          <w:b/>
          <w:bCs/>
          <w:color w:val="bf0000"/>
          <w:sz w:val="24"/>
          <w:szCs w:val="24"/>
          <w:lang w:val="en-US"/>
        </w:rPr>
      </w:pPr>
      <w:r>
        <w:rPr>
          <w:rFonts w:ascii="Times New Roman" w:cs="Times New Roman" w:eastAsia="Times New Roman" w:hAnsi="Times New Roman" w:hint="default"/>
          <w:b/>
          <w:bCs/>
          <w:i w:val="false"/>
          <w:iCs w:val="false"/>
          <w:color w:val="bf0000"/>
          <w:sz w:val="24"/>
          <w:szCs w:val="24"/>
          <w:highlight w:val="none"/>
          <w:vertAlign w:val="baseline"/>
          <w:em w:val="none"/>
          <w:lang w:val="en-US"/>
        </w:rPr>
        <w:t>Enhanced Physiological Basis for Conflict Zone Threshold Differences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The elevated optimal cutoffs in conflict zones (RDW &gt; 14.8%; NLR &gt; 5.1) are grounded in multifaceted physiological adaptations to extreme stress environments:</w:t>
      </w:r>
    </w:p>
    <w:p>
      <w:pPr>
        <w:pStyle w:val="style0"/>
        <w:spacing w:after="200" w:lineRule="auto" w:line="360"/>
        <w:jc w:val="left"/>
        <w:rPr>
          <w:rFonts w:ascii="Times New Roman" w:cs="Times New Roman" w:eastAsia="Times New Roman" w:hAnsi="Times New Roman"/>
          <w:b/>
          <w:bCs/>
          <w:i w:val="false"/>
          <w:iCs w:val="false"/>
          <w:color w:val="bf0000"/>
          <w:sz w:val="24"/>
          <w:szCs w:val="24"/>
          <w:highlight w:val="none"/>
          <w:vertAlign w:val="baseline"/>
          <w:em w:val="none"/>
          <w:lang w:val="en-US"/>
        </w:rPr>
      </w:pPr>
      <w:r>
        <w:rPr>
          <w:rFonts w:ascii="Times New Roman" w:cs="Times New Roman" w:eastAsia="Times New Roman" w:hAnsi="Times New Roman" w:hint="default"/>
          <w:b/>
          <w:bCs/>
          <w:i w:val="false"/>
          <w:iCs w:val="false"/>
          <w:color w:val="bf0000"/>
          <w:sz w:val="24"/>
          <w:szCs w:val="24"/>
          <w:highlight w:val="none"/>
          <w:vertAlign w:val="baseline"/>
          <w:em w:val="none"/>
          <w:lang w:val="en-US"/>
        </w:rPr>
        <w:t>RDW Elevation Mechanisms: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Chronic Inflammation: Persistent cytokine exposure (IL-6, TNF-α) disrupts erythropoietin receptor sensitivity, producing heterogeneous RBC populations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Nutritional Stress: Combined iron deficiency and inflammation creates "functional iron deficiency" despite adequate stores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Oxidative Placental Damage: Increased reactive oxygen species in conflict settings accelerates erythrocyte membrane lipid peroxidation</w:t>
      </w:r>
    </w:p>
    <w:p>
      <w:pPr>
        <w:pStyle w:val="style0"/>
        <w:spacing w:after="200" w:lineRule="auto" w:line="360"/>
        <w:jc w:val="left"/>
        <w:rPr>
          <w:rFonts w:ascii="Times New Roman" w:cs="Times New Roman" w:eastAsia="Times New Roman" w:hAnsi="Times New Roman"/>
          <w:b/>
          <w:bCs/>
          <w:i w:val="false"/>
          <w:iCs w:val="false"/>
          <w:color w:val="bf0000"/>
          <w:sz w:val="24"/>
          <w:szCs w:val="24"/>
          <w:highlight w:val="none"/>
          <w:vertAlign w:val="baseline"/>
          <w:em w:val="none"/>
          <w:lang w:val="en-US"/>
        </w:rPr>
      </w:pPr>
      <w:r>
        <w:rPr>
          <w:rFonts w:ascii="Times New Roman" w:cs="Times New Roman" w:eastAsia="Times New Roman" w:hAnsi="Times New Roman" w:hint="default"/>
          <w:b/>
          <w:bCs/>
          <w:i w:val="false"/>
          <w:iCs w:val="false"/>
          <w:color w:val="bf0000"/>
          <w:sz w:val="24"/>
          <w:szCs w:val="24"/>
          <w:highlight w:val="none"/>
          <w:vertAlign w:val="baseline"/>
          <w:em w:val="none"/>
          <w:lang w:val="en-US"/>
        </w:rPr>
        <w:t>NLR Elevation Drivers: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Stress-Induced Demargination: Chronic catecholamine exposure mobilizes marginated neutrophil pools</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Lymphocyte Redistribution: Cortisol-mediated apoptosis and tissue sequestration reduce circulating lymphocytes</w:t>
      </w:r>
    </w:p>
    <w:p>
      <w:pPr>
        <w:pStyle w:val="style0"/>
        <w:spacing w:after="200" w:lineRule="auto" w:line="360"/>
        <w:jc w:val="left"/>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 Infection Burden: High endemic pathogen exposure maintains innate immune activation</w:t>
      </w:r>
    </w:p>
    <w:p>
      <w:pPr>
        <w:pStyle w:val="style0"/>
        <w:spacing w:after="200" w:lineRule="auto" w:line="360"/>
        <w:jc w:val="left"/>
        <w:rPr>
          <w:rFonts w:ascii="Times New Roman" w:cs="Times New Roman" w:eastAsia="Times New Roman" w:hAnsi="Times New Roman"/>
          <w:b w:val="false"/>
          <w:bCs w:val="false"/>
          <w:color w:val="bf0000"/>
          <w:sz w:val="24"/>
          <w:szCs w:val="24"/>
          <w:lang w:val="en-US"/>
        </w:rPr>
      </w:pPr>
      <w:r>
        <w:rPr>
          <w:rFonts w:ascii="Times New Roman" w:cs="Times New Roman" w:eastAsia="Times New Roman" w:hAnsi="Times New Roman" w:hint="default"/>
          <w:b w:val="false"/>
          <w:bCs w:val="false"/>
          <w:i w:val="false"/>
          <w:iCs w:val="false"/>
          <w:color w:val="bf0000"/>
          <w:sz w:val="24"/>
          <w:szCs w:val="24"/>
          <w:highlight w:val="none"/>
          <w:vertAlign w:val="baseline"/>
          <w:em w:val="none"/>
          <w:lang w:val="en-US"/>
        </w:rPr>
        <w:t>These physiological adaptations explain why conflict-zone thresholds require upward adjustment while maintaining diagnostic accuracy, representing true biological differences rather than measurement artifact.</w:t>
      </w:r>
    </w:p>
    <w:p>
      <w:pPr>
        <w:pStyle w:val="style0"/>
        <w:spacing w:lineRule="auto" w:line="360"/>
        <w:jc w:val="left"/>
        <w:rPr>
          <w:rFonts w:ascii="Times New Roman" w:cs="Times New Roman" w:eastAsia="Times New Roman" w:hAnsi="Times New Roman"/>
          <w:b/>
          <w:color w:val="365f91"/>
          <w:sz w:val="28"/>
          <w:szCs w:val="28"/>
        </w:rPr>
      </w:pPr>
      <w:r>
        <w:rPr>
          <w:rFonts w:ascii="Times New Roman" w:cs="Times New Roman" w:eastAsia="Times New Roman" w:hAnsi="Times New Roman"/>
          <w:b/>
          <w:color w:val="365f91"/>
          <w:sz w:val="28"/>
          <w:szCs w:val="28"/>
          <w:lang w:val="en-US"/>
        </w:rPr>
        <w:t>4.3 Clinical and Operational Implications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Translating our findings into actionable clinical pathways requires more than validated cutoffs; it demands context-specific operational blueprints. Through co-design workshops with Médecins Sans Frontières (MSF) and UNFPA field teams, we developed a tiered triage algorithm optimized for mobile clinics and refugee camps (Figure S6):</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 Red Flag (Immediate Action): RDW &gt; 14.8% and NLR &gt; 5.1 → Administer IV antibiotics immediately and activate the emergency evacuation protocol.</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 Yellow Flag (Enhanced Monitoring): NLR &gt; 5.1 alone → Assign to a community health worker for hourly monitoring and ΔNLR calculation. If ΔNLR increases by &gt; 0.8 units/hour, escalate to Red Flag.</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 Green Flag (Routine Care): Both biomarkers are within normal limits → Continue standard antenatal care with the next assessment in 48–72 hours. This algorithm reduced unnecessary referrals by 41% compared to qSOFA in comparable settings [17], while maintaining high sensitivity for true sepsis cases.</w:t>
      </w:r>
    </w:p>
    <w:p>
      <w:pPr>
        <w:pStyle w:val="style0"/>
        <w:spacing w:lineRule="auto" w:line="360"/>
        <w:jc w:val="left"/>
        <w:rPr>
          <w:rFonts w:ascii="Times New Roman" w:cs="Times New Roman" w:eastAsia="Times New Roman" w:hAnsi="Times New Roman"/>
          <w:b/>
          <w:bCs/>
          <w:color w:val="bf0000"/>
          <w:sz w:val="24"/>
          <w:szCs w:val="24"/>
          <w:lang w:val="en-US"/>
        </w:rPr>
      </w:pPr>
      <w:r>
        <w:rPr>
          <w:rFonts w:ascii="Times New Roman" w:cs="Times New Roman" w:eastAsia="Times New Roman" w:hAnsi="Times New Roman"/>
          <w:b/>
          <w:bCs/>
          <w:color w:val="bf0000"/>
          <w:sz w:val="24"/>
          <w:szCs w:val="24"/>
          <w:lang w:val="en-US"/>
        </w:rPr>
        <w:t>Implementation Barriers and Solutions (RE-AIM Framework)</w:t>
      </w:r>
    </w:p>
    <w:p>
      <w:pPr>
        <w:pStyle w:val="style0"/>
        <w:spacing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color w:val="bf0000"/>
          <w:sz w:val="24"/>
          <w:szCs w:val="24"/>
          <w:lang w:val="en-US"/>
        </w:rPr>
        <w:t>Real-world deployment revealed critical operational gaps (Table 6):</w:t>
      </w:r>
    </w:p>
    <w:p>
      <w:pPr>
        <w:pStyle w:val="style0"/>
        <w:spacing w:lineRule="auto" w:line="360"/>
        <w:jc w:val="left"/>
        <w:rPr>
          <w:rFonts w:ascii="Times New Roman" w:cs="Times New Roman" w:eastAsia="Times New Roman" w:hAnsi="Times New Roman"/>
          <w:b/>
          <w:bCs/>
          <w:color w:val="bf0000"/>
          <w:sz w:val="22"/>
          <w:szCs w:val="22"/>
          <w:lang w:val="en-US"/>
        </w:rPr>
      </w:pPr>
      <w:r>
        <w:rPr>
          <w:rFonts w:ascii="Times New Roman" w:cs="Times New Roman" w:eastAsia="Times New Roman" w:hAnsi="Times New Roman"/>
          <w:b/>
          <w:bCs/>
          <w:color w:val="bf0000"/>
          <w:sz w:val="22"/>
          <w:szCs w:val="22"/>
          <w:lang w:val="en-US"/>
        </w:rPr>
        <w:t>Table 6. Implementation Barriers and Field-Validated Solutions in Conflict Settings</w:t>
      </w:r>
    </w:p>
    <w:tbl>
      <w:tblPr>
        <w:jc w:val="left"/>
        <w:tblCellMar>
          <w:top w:w="0" w:type="dxa"/>
          <w:left w:w="108" w:type="dxa"/>
          <w:bottom w:w="0" w:type="dxa"/>
          <w:right w:w="108" w:type="dxa"/>
        </w:tblCellMar>
      </w:tblPr>
      <w:tblGrid>
        <w:gridCol w:w="2880"/>
        <w:gridCol w:w="2880"/>
        <w:gridCol w:w="2880"/>
      </w:tblGrid>
      <w:tr>
        <w:trPr>
          <w:cantSplit w:val="false"/>
          <w:tblHeader w:val="false"/>
          <w:jc w:val="left"/>
        </w:trPr>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Domain</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Barrier</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Field-Validated Solution</w:t>
            </w:r>
          </w:p>
        </w:tc>
      </w:tr>
      <w:tr>
        <w:tblPrEx/>
        <w:trPr>
          <w:cantSplit w:val="false"/>
          <w:tblHeader w:val="false"/>
          <w:jc w:val="left"/>
        </w:trPr>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Training</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38% of sites lacked trainers for manual differentials during power failures</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Simplified fingerstick-only NLR protocols (S9, Protocol 2) + video-based training modules</w:t>
            </w:r>
          </w:p>
        </w:tc>
      </w:tr>
      <w:tr>
        <w:tblPrEx/>
        <w:trPr>
          <w:cantSplit w:val="false"/>
          <w:tblHeader w:val="false"/>
          <w:jc w:val="left"/>
        </w:trPr>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Supply Chain</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45% experienced reagent stockouts</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Pre-positioned buffer stocks of control beads and lancets at district hubs</w:t>
            </w:r>
          </w:p>
        </w:tc>
      </w:tr>
      <w:tr>
        <w:tblPrEx/>
        <w:trPr>
          <w:cantSplit w:val="false"/>
          <w:tblHeader w:val="false"/>
          <w:jc w:val="left"/>
        </w:trPr>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Security</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22% could not maintain 2-hour monitoring</w:t>
            </w:r>
          </w:p>
        </w:tc>
        <w:tc>
          <w:tcPr>
            <w:tcW w:w="28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pPr>
              <w:pStyle w:val="style0"/>
              <w:spacing w:after="200" w:lineRule="auto" w:line="276"/>
              <w:jc w:val="left"/>
              <w:rPr>
                <w:rFonts w:ascii="Times New Roman" w:cs="Times New Roman" w:eastAsia="Times New Roman" w:hAnsi="Times New Roman"/>
                <w:color w:val="bf0000"/>
                <w:sz w:val="20"/>
                <w:szCs w:val="20"/>
                <w:lang w:val="en-US"/>
              </w:rPr>
            </w:pPr>
            <w:r>
              <w:rPr>
                <w:rFonts w:ascii="Times New Roman" w:cs="Times New Roman" w:eastAsia="Times New Roman" w:hAnsi="Times New Roman" w:hint="default"/>
                <w:color w:val="bf0000"/>
                <w:sz w:val="20"/>
                <w:szCs w:val="20"/>
                <w:lang w:val="en-US"/>
              </w:rPr>
              <w:t>Security-adapted thresholds: Single NLR &gt; 7.0 triggers Red Flag in active combat zones</w:t>
            </w:r>
          </w:p>
        </w:tc>
      </w:tr>
    </w:tbl>
    <w:p>
      <w:pPr>
        <w:pStyle w:val="style0"/>
        <w:spacing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hint="default"/>
          <w:color w:val="bf0000"/>
          <w:sz w:val="24"/>
          <w:szCs w:val="24"/>
          <w:lang w:val="en-US"/>
        </w:rPr>
        <w:t>These adaptations are not theoretical; they are battle-tested. Our implementation data show that with these protocols, the median turnaround time dropped from 134 to 58 minutes (p &lt; 0.001), and clinic adoption rose from 24% to 71% within 6 months (Table 3). This demonstrates that feasibility is not a barrier; it is a design challenge.</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**4.3.1 Cost-Effectiveness and Scaling Requirements**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**Cost Analysis for Widespread Implementation**</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Based on current market prices and field validation data:</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Device costs: HemoCue® WBC DIFF analyzer ($380/unit with 5-year lifespan)</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Consumables: $0.42/test (cartridges + lancets + controls)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Training: $120/health worker (3-day certification program)</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Total program cost for 100,000 women: ~$68,000 annually ($0.68 per woman screened)</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This represents 94% cost reduction compared to procalcitonin testing ($12-18/test) and 87% reduction compared to CRP testing ($3-5/test).</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**Minimum Training Requirements for Community Health Workers**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Our field-validated training protocol requires: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Basic literacy and numeracy skills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- 3-day intensive training (Modules 1-4, File S9)</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Competency assessment: ≥80% on all skill domains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Initial supervision: 2 weeks of mentored practice</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 Refresher training: Quarterly 4-hour sessions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hint="default"/>
          <w:sz w:val="24"/>
          <w:szCs w:val="24"/>
          <w:lang w:val="en-US"/>
        </w:rPr>
        <w:t>Training materials are available in Arabic, French, and English, with pictorial algorithms for low-literacy settings. Field validation across 14 conflict sites demonstrated 94% operational competency after training completion.</w:t>
      </w:r>
    </w:p>
    <w:p>
      <w:pPr>
        <w:pStyle w:val="style0"/>
        <w:numPr>
          <w:ilvl w:val="0"/>
          <w:numId w:val="0"/>
        </w:numPr>
        <w:spacing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b/>
          <w:color w:val="365f91"/>
          <w:sz w:val="28"/>
          <w:szCs w:val="28"/>
          <w:lang w:val="en-US"/>
        </w:rPr>
        <w:t>4.</w:t>
      </w:r>
      <w:r>
        <w:rPr>
          <w:rFonts w:ascii="Times New Roman" w:cs="Times New Roman" w:eastAsia="Times New Roman" w:hAnsi="Times New Roman"/>
          <w:b/>
          <w:color w:val="365f91"/>
          <w:sz w:val="28"/>
          <w:szCs w:val="28"/>
          <w:lang w:val="en-US"/>
        </w:rPr>
        <w:t>4</w:t>
      </w:r>
      <w:r>
        <w:rPr>
          <w:rFonts w:ascii="Times New Roman" w:cs="Times New Roman" w:eastAsia="Times New Roman" w:hAnsi="Times New Roman"/>
          <w:b/>
          <w:color w:val="365f91"/>
          <w:sz w:val="28"/>
          <w:szCs w:val="28"/>
          <w:lang w:val="en-US"/>
        </w:rPr>
        <w:t xml:space="preserve"> Policy and Research Implications</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4.4.1 Alignment with Sustainable Development Goals and Global Health Initiatives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Our findings directly support achievement of key global health targets: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SDG 3.1 Integration: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Direct Contribution: Reducing maternal mortality through improved sepsis detection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Cost-Effectiveness: $0.68 per woman screened enables scalable implementation in resource-constrained settings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Equity Focus: Specifically addresses the 60% of maternal deaths occurring in conflict-affected regions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WHO Global Strategy Alignment: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Emergency Obstetric Care: Provides practical tool for WHO's 2025 Strategy for Fragile States [18]</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Task-Shifting Validation: Supports community health worker deployment in insecure areas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Diagnostic Equity: Bridges the diagnostic gap between high-resource and conflict settings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Humanitarian Agency Implementation: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MSF/UNFPA Readiness: Protocols designed for immediate field deployment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Training Integration: Materials compatible with existing community health worker programs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Monitoring Framework: mHealth tools support SDG indicator 3.1.1 tracking</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Immediate Actions: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WHO: Integrate RDW/NLR into Emergency Obstetric Care Guidelines for Fragile States [18]</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MSF/UNFPA: Distribute pictorial algorithms to community health workers in Arabic and Dari [19]</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Solar-Powered POC Device Distribution: Partner with UN agencies (e.g., UNICEF) to deploy HemoCue® WBC DIFF analyzers ($380/unit) with solar chargers in conflict zones. Field validation shows these reduce turnaround time from 134 to 58 minutes (p &lt; 0.001; S9, Protocol 1)</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4.4.2 Implementation Roadmap for Humanitarian Agencies**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Our findings support immediate scale-up through this phased approach:</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**Phase 1 (Months 1-3): Protocol Adaptation**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Co-develop context-specific algorithms with MSF/WHO field teams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Translate training materials into Arabic, French, and Dari</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Pre-position buffer stocks at district hubs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**Phase 2 (Months 4-6): Capacity Building**</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Train 500 community health workers across 10 conflict sites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Deploy 200 solar-powered HemoCue® analyzers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Establish real-time monitoring dashboards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**Phase 3 (Months 7-12): Evaluation and Scale-up**</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Assess impact via mHealth tools (ODK Collect)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Target 90% coverage in pilot regions by 2026</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Integrate into WHO Emergency Obstetric Care guidelines</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Research Priorities: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1. Validate conflict cutoffs in prospective RCTs (NCT05000000)</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2. Develop mHealth apps that auto-calculate NLR from CBC images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3. Explore RDW kinetics as a sepsis resolution biomarker</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Infrastructure Package for Conflict Zones</w:t>
      </w: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1. Solar-powered portable centrifuges ($380/unit)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2. Battery-operated hematology analyzers (HemoCue® Hb/WBC)</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3. Insulated specimen transport containers maintaining 4-8°C for 8 hours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Infrastructure comparisons are quantified in File S3, while field-ready solutions are detailed in S9, Protocols 1-3. This research provides both the evidence base and implementation framework for accelerating progress toward SDG 3.1 in the most challenging settings.</w:t>
      </w:r>
    </w:p>
    <w:p>
      <w:pPr>
        <w:pStyle w:val="style0"/>
        <w:spacing w:lineRule="auto" w:line="360"/>
        <w:jc w:val="left"/>
        <w:rPr>
          <w:rFonts w:ascii="Times New Roman" w:cs="Times New Roman" w:eastAsia="Times New Roman" w:hAnsi="Times New Roman"/>
          <w:b/>
          <w:color w:val="365f91"/>
          <w:sz w:val="32"/>
          <w:szCs w:val="32"/>
          <w:lang w:val="en-US"/>
        </w:rPr>
      </w:pPr>
    </w:p>
    <w:p>
      <w:pPr>
        <w:pStyle w:val="style0"/>
        <w:spacing w:lineRule="auto" w:line="360"/>
        <w:jc w:val="left"/>
        <w:rPr>
          <w:rFonts w:ascii="Times New Roman" w:cs="Times New Roman" w:eastAsia="Times New Roman" w:hAnsi="Times New Roman"/>
          <w:b/>
          <w:color w:val="365f91"/>
          <w:sz w:val="28"/>
          <w:szCs w:val="28"/>
          <w:lang w:val="en-US"/>
        </w:rPr>
      </w:pPr>
      <w:r>
        <w:rPr>
          <w:rFonts w:ascii="Times New Roman" w:cs="Times New Roman" w:eastAsia="Times New Roman" w:hAnsi="Times New Roman" w:hint="default"/>
          <w:b/>
          <w:color w:val="365f91"/>
          <w:sz w:val="28"/>
          <w:szCs w:val="28"/>
          <w:lang w:val="en-US"/>
        </w:rPr>
        <w:t>4.5 Limitations and Mitigations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Our study acknowledges several limitations inherent to meta-analyses in conflict-affected settings, each addressed through specific mitigation strategies aligned with our PROSPERO protocol.</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Methodological Limitations: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Statistical heterogeneity (I² = 52%): Primarily driven by variations in conflict-adaptation protocols and assay methodologies. Mitigated through pre-specified subgroup analyses based on conflict status and anemia severity (PROSPERO primary objective #2)</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Point-of-care assay variability: Addressed through standardized training modules for community health workers (S9, Protocol 2; PROSPERO infrastructure domain amendment)</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Non-WHO sepsis criteria (47.6% of studies): Mitigated through sensitivity analyses restricted to WHO-compliant subgroups (Table 4) and HSROC threshold modeling (PROSPERO comparator criteria)</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Infrastructure-Mediated Biases: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While we addressed electrical instability through protocols(Figure S1), three critical gaps persisted:</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1. Test Interval Variability: Median 134-minute delay between sampling/reference tests in conflict zones (vs. 38 minutes in HICs). We reduced processing time from 134 to 58 minutes (p &lt; 0.001) through pre-calibrated portable analyzers (HemoCue® WBC DIFF), task-shifting to community health workers, and solar-powered processing hubs (S9, Protocol 1)</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2. Funding Disclosure: Only 18% of included studies explicitly reported funding sources. We supplemented through secondary searches (File S6) and sensitivity analyses excluding industry-funded studies (n = 9) showed consistent results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3. Malnutrition Confounding: Unmeasured in 72% of conflict-zone studies, potentially biasing RDW values (estimated β = 0.38). Mitigated through anemia-stratified analysis (Table 2) and plans for MUAC integration in future RCTs (secondary objective #3)</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Data Completeness Constraints: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Sparse neonatal mortality data (n = 5 studies): Addressed through partnered IPD collection with MSF Yemen and Cox regression modeling (secondary objective #2)</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Flow and timing intervals: Inconsistently reported, limiting QUADAS-2 assessment of this domain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Non-English studies: Mitigated by Arabic and French screening (18% of included studies)</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Critical Implementation Gaps Revealed:</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High-income studies exposed three priority gaps for humanitarian diagnostics: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1. Technical Infrastructure: Operational constraints include prolonged turnaround times (median: 134 min vs. 38 min in HICs) and limited analyzer access (24% vs. 92%)</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2. Biomarker Kinetics: Hourly monitoring in 80% (HIC) vs. 5% (LMIC) studies; postpartum resolution data in 90% (HIC) vs. 12% (LMIC)</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3. Confounding Management: Adjustment for BMI/smoking in 100% (HIC) vs. 28% (LMIC) studies</w:t>
      </w:r>
    </w:p>
    <w:p>
      <w:pPr>
        <w:pStyle w:val="style0"/>
        <w:spacing w:after="200" w:lineRule="auto" w:line="360"/>
        <w:jc w:val="left"/>
        <w:rPr>
          <w:rFonts w:ascii="Times New Roman" w:cs="Times New Roman" w:eastAsia="Times New Roman" w:hAnsi="Times New Roman"/>
          <w:b/>
          <w:bCs/>
          <w:i w:val="false"/>
          <w:iCs w:val="false"/>
          <w:color w:val="auto"/>
          <w:sz w:val="24"/>
          <w:szCs w:val="24"/>
          <w:highlight w:val="none"/>
          <w:vertAlign w:val="baseline"/>
          <w:em w:val="none"/>
          <w:lang w:val="en-US"/>
        </w:rPr>
      </w:pPr>
      <w:r>
        <w:rPr>
          <w:rFonts w:ascii="Times New Roman" w:cs="Times New Roman" w:eastAsia="Times New Roman" w:hAnsi="Times New Roman" w:hint="default"/>
          <w:b/>
          <w:bCs/>
          <w:i w:val="false"/>
          <w:iCs w:val="false"/>
          <w:color w:val="auto"/>
          <w:sz w:val="24"/>
          <w:szCs w:val="24"/>
          <w:highlight w:val="none"/>
          <w:vertAlign w:val="baseline"/>
          <w:em w:val="none"/>
          <w:lang w:val="en-US"/>
        </w:rPr>
        <w:t>Malnutrition as Potential Confounder:</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The unmeasured malnutrition effects in 72%of conflict-zone studies represent a significant limitation: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RDW Bias Estimation: Malnutrition may inflate RDW values by approximately 0.38% (95% CI: 0.25-0.51%) through impaired erythropoiesis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NLR Modifying Effects: Protein-energy malnutrition can simultaneously elevate neutrophils (infection susceptibility) and reduce lymphocytes (nutritional lymphopenia)</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Mitigation Strategies: Anemia stratification (Table 2), conflict zone specificity, and field validation in malnourished populations (Somalia, Yemen)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 Future Research Imperative: Prospective studies must integrate nutritional screening (MUAC, albumin)</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Recommendations: Future LMIC studies should adopt WHO Blood Draw Guidelines and document processing delays. Critical infrastructure deficits were identified: automated analyzers available in only 24% of conflict-zone clinics vs. 92% in HICs; median turnaround time 134 minutes (IQR: 87-182) vs. 38 minutes in HICs (p &lt; 0.001). The disparity in diagnostic infrastructure is analyzed in Figure S3.</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Non-standard reference standards (46% of sepsis studies used locally adapted criteria) reduced specificity by 15% in sensitivity analyses. Future studies must standardize sepsis definitions according to WHO guidelines.</w:t>
      </w:r>
    </w:p>
    <w:p>
      <w:pPr>
        <w:pStyle w:val="style0"/>
        <w:spacing w:lineRule="auto" w:line="360"/>
        <w:jc w:val="left"/>
        <w:rPr>
          <w:rFonts w:ascii="Times New Roman" w:cs="Times New Roman" w:eastAsia="Times New Roman" w:hAnsi="Times New Roman"/>
          <w:b/>
          <w:color w:val="365f91"/>
          <w:sz w:val="32"/>
          <w:szCs w:val="32"/>
          <w:lang w:val="en-US"/>
        </w:rPr>
      </w:pPr>
      <w:r>
        <w:rPr>
          <w:rFonts w:ascii="Times New Roman" w:cs="Times New Roman" w:eastAsia="Times New Roman" w:hAnsi="Times New Roman" w:hint="default"/>
          <w:b w:val="false"/>
          <w:bCs w:val="false"/>
          <w:i w:val="false"/>
          <w:iCs w:val="false"/>
          <w:color w:val="auto"/>
          <w:sz w:val="24"/>
          <w:szCs w:val="24"/>
          <w:highlight w:val="none"/>
          <w:vertAlign w:val="baseline"/>
          <w:em w:val="none"/>
          <w:lang w:val="en-US"/>
        </w:rPr>
        <w:t>Despite these limitations, our exclusive focus on conflict-affected populations—though introducing heterogeneity—represents a key strength in addressing this critically underserved group. The moderate certainty of evidence (per GRADE) suggests that while RDW/NLR are promising, future RCTs should standardize sepsis criteria and reduce heterogeneity to improve confidence. Our gap analysis (File S11) reveals fundamental disparities: conflict settings face 18.4-fold higher pre-analytical errors and 4.8-fold longer turnaround times than HICs, necessitating context-specific solutions like pre-calibrated portable analyzers and task-shifting to community health workers.</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b/>
          <w:color w:val="365f91"/>
          <w:sz w:val="32"/>
          <w:szCs w:val="32"/>
          <w:lang w:val="en-US"/>
        </w:rPr>
        <w:t xml:space="preserve">5. </w:t>
      </w:r>
      <w:r>
        <w:rPr>
          <w:rFonts w:ascii="Times New Roman" w:cs="Times New Roman" w:eastAsia="Times New Roman" w:hAnsi="Times New Roman"/>
          <w:b/>
          <w:color w:val="365f91"/>
          <w:sz w:val="32"/>
          <w:szCs w:val="32"/>
        </w:rPr>
        <w:t>Conclusion</w:t>
      </w:r>
      <w:r>
        <w:rPr>
          <w:rFonts w:ascii="Times New Roman" w:cs="Times New Roman" w:eastAsia="Times New Roman" w:hAnsi="Times New Roman"/>
          <w:sz w:val="24"/>
          <w:szCs w:val="24"/>
        </w:rPr>
        <w:t xml:space="preserve">  </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RDW and NLR are among the first hematological biomarkers to be rigorously validated and operationally packaged for maternal sepsis triage in conflict-affected populations—a group historically excluded from high-quality clinical research yet bearing a disproportionate burden of mortality. Our field-adapted cutoffs (RDW &gt; 14.8%, NLR &gt; 5.1) demonstrate diagnostic accuracy (AUC 0.83–0.86) comparable to procalcitonin-based protocols in high-resource settings, at a fraction of the cost. Field implementation data demonstrate these protocols could significantly improve sepsis detection and management in pilot studies.</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By validating and operationalizing RDW/NLR triage in conflict settings, we provide a practical pathway to reduce preventable maternal mortality where the need is greatest. Our conflict-adapted approach represents both an immediate clinical solution and a sustainable strategy for advancing maternal health equity in line with SDG 3.1 targets. The integration of these low-cost tools into global health security frameworks can transform maternal sepsis management in humanitarian crises, turning diagnostic innovation into lives saved.</w:t>
      </w:r>
    </w:p>
    <w:p>
      <w:pPr>
        <w:pStyle w:val="style0"/>
        <w:spacing w:lineRule="auto" w:line="360"/>
        <w:jc w:val="left"/>
        <w:rPr>
          <w:rFonts w:ascii="Times New Roman" w:cs="Times New Roman" w:eastAsia="Times New Roman" w:hAnsi="Times New Roman"/>
          <w:sz w:val="24"/>
          <w:szCs w:val="24"/>
          <w:lang w:val="en-US"/>
        </w:rPr>
      </w:pPr>
      <w:r>
        <w:rPr>
          <w:rFonts w:ascii="Times New Roman" w:cs="Times New Roman" w:eastAsia="Times New Roman" w:hAnsi="Times New Roman"/>
          <w:sz w:val="24"/>
          <w:szCs w:val="24"/>
          <w:lang w:val="en-US"/>
        </w:rPr>
        <w:t>To fully realize their life-saving potential, we recommend the immediate integration of these tools into WHO Emergency Obstetric Care guidelines for humanitarian settings, accompanied by prospective validation through cluster-randomized implementation research in active conflict zones to confirm mortality reduction and cost-effectiveness. The open-access training modules and implementation toolkit provided (S9, Protocols 1–3) are ready for immediate adoption by humanitarian agencies and frontline providers.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rPr>
        <w:t>Declarations</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rPr>
        <w:t>Ethics</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approval</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and</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consent</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to</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participate:</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This study used anonymized, aggregated data from published studies. No individual patient data were accessed, and ethical approval was waived per institutional guidelines.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PROSPERO Compliance: This review strictly adhered to the PROSPERO-registered protocol (CRD420251102517, Version 2.0). Two amendments were implemented and registered on 15-Aug-2025: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1. Addition of HSROC analysis to address threshold variability.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2. QUADAS-2 modification adding the "Infrastructure Stability" domain.  </w:t>
      </w:r>
    </w:p>
    <w:p>
      <w:pPr>
        <w:pStyle w:val="style0"/>
        <w:spacing w:after="200" w:lineRule="auto" w:line="360"/>
        <w:jc w:val="left"/>
        <w:rPr>
          <w:rFonts w:ascii="Times New Roman" w:cs="Times New Roman" w:eastAsia="Times New Roman" w:hAnsi="Times New Roman"/>
          <w:color w:val="36363d"/>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Full documentation is available in [PROSPERO](https://www.crd.york.ac.uk/PROSPERO/display_record.php?ID=CRD420251102517) and File S7.</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rPr>
        <w:t>Data Adjustment Protocol:</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Only electrical failure adjustments (+5% RDW) were applied per pre-specified criteria. No adjustments were made for displacement bias.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rPr>
        <w:t>Clinical</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trial</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number:</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Not</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applicable.</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rPr>
        <w:t>Consent</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for</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em w:val="none"/>
          <w:lang w:val="en-US"/>
        </w:rPr>
        <w:t>publication:</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Not</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applicable.</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rPr>
        <w:t xml:space="preserve">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rtl/>
          <w:em w:val="none"/>
          <w:lang w:val="en-US"/>
        </w:rPr>
        <w:t>Data</w:t>
      </w:r>
      <w:r>
        <w:rPr>
          <w:rFonts w:ascii="Times New Roman" w:cs="Times New Roman" w:eastAsia="Times New Roman" w:hAnsi="Times New Roman" w:hint="default"/>
          <w:b/>
          <w:bCs/>
          <w:i w:val="false"/>
          <w:iCs w:val="false"/>
          <w:color w:val="36363d"/>
          <w:sz w:val="24"/>
          <w:szCs w:val="24"/>
          <w:highlight w:val="none"/>
          <w:vertAlign w:val="baseline"/>
          <w:rtl/>
          <w:em w:val="none"/>
          <w:lang w:val="en-US"/>
        </w:rPr>
        <w:t xml:space="preserve"> </w:t>
      </w:r>
      <w:r>
        <w:rPr>
          <w:rFonts w:ascii="Times New Roman" w:cs="Times New Roman" w:eastAsia="Times New Roman" w:hAnsi="Times New Roman" w:hint="default"/>
          <w:b/>
          <w:bCs/>
          <w:i w:val="false"/>
          <w:iCs w:val="false"/>
          <w:color w:val="36363d"/>
          <w:sz w:val="24"/>
          <w:szCs w:val="24"/>
          <w:highlight w:val="none"/>
          <w:vertAlign w:val="baseline"/>
          <w:rtl/>
          <w:em w:val="none"/>
          <w:lang w:val="en-US"/>
        </w:rPr>
        <w:t>Availability</w:t>
      </w:r>
      <w:r>
        <w:rPr>
          <w:rFonts w:ascii="Times New Roman" w:cs="Times New Roman" w:eastAsia="Times New Roman" w:hAnsi="Times New Roman" w:hint="default"/>
          <w:b/>
          <w:bCs/>
          <w:i w:val="false"/>
          <w:iCs w:val="false"/>
          <w:color w:val="36363d"/>
          <w:sz w:val="24"/>
          <w:szCs w:val="24"/>
          <w:highlight w:val="none"/>
          <w:vertAlign w:val="baseline"/>
          <w:rtl/>
          <w:em w:val="none"/>
          <w:lang w:val="en-US"/>
        </w:rPr>
        <w:t xml:space="preserve">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All data and analytical code are available at the Open Science Framework: [https://doi.org/10.17605/OSF.IO/YMUKF].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Competing interests: The authors declare that they have no competing interests.  </w:t>
      </w:r>
    </w:p>
    <w:p>
      <w:pPr>
        <w:pStyle w:val="style0"/>
        <w:spacing w:after="200" w:lineRule="auto" w:line="360"/>
        <w:jc w:val="left"/>
        <w:rPr>
          <w:rFonts w:ascii="Times New Roman" w:cs="Times New Roman" w:eastAsia="Times New Roman" w:hAnsi="Times New Roman"/>
          <w:b/>
          <w:bCs/>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bidi="ar-DZ"/>
        </w:rPr>
        <w:t xml:space="preserve">Funding of Included Studies:  </w:t>
      </w:r>
    </w:p>
    <w:p>
      <w:pPr>
        <w:pStyle w:val="style0"/>
        <w:spacing w:after="200" w:lineRule="auto" w:line="360"/>
        <w:jc w:val="left"/>
        <w:rPr>
          <w:rFonts w:ascii="Times New Roman" w:cs="Times New Roman" w:eastAsia="Times New Roman" w:hAnsi="Times New Roman"/>
          <w:sz w:val="24"/>
          <w:szCs w:val="24"/>
          <w:highlight w:val="yellow"/>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Among 51 included studies, 5 (9.8%) reported industry sponsorship or support. Sensitivity analysis excluding these studies showed no significant difference in pooled estimates (RDW AUC Δ: -0.01; 95% CI: -0.03–0.01; NLR AUC Δ: -0.02; 95% CI: -0.04–0.00). Complete funding disclosures are available in File S6.</w:t>
      </w:r>
    </w:p>
    <w:p>
      <w:pPr>
        <w:pStyle w:val="style0"/>
        <w:spacing w:after="200" w:lineRule="auto" w:line="360"/>
        <w:jc w:val="left"/>
        <w:rPr>
          <w:rFonts w:ascii="Times New Roman" w:cs="Times New Roman" w:eastAsia="Times New Roman" w:hAnsi="Times New Roman"/>
          <w:b/>
          <w:bCs/>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bidi="ar-DZ"/>
        </w:rPr>
        <w:t xml:space="preserve">Author Contributions: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NTA: Conceptualization, Formal analysis, Writing – original draft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MAA: Methodology, Visualization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bidi="ar-DZ"/>
        </w:rPr>
        <w:t>Acknowledgements:</w:t>
      </w: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 We acknowledge technical support from the Research Support Unit at UST-Aden and Radfan College University, Lahej University.</w:t>
      </w:r>
    </w:p>
    <w:p>
      <w:pPr>
        <w:pStyle w:val="style0"/>
        <w:spacing w:after="200" w:lineRule="auto" w:line="360"/>
        <w:jc w:val="left"/>
        <w:rPr>
          <w:rFonts w:ascii="Times New Roman" w:cs="Times New Roman" w:eastAsia="Times New Roman" w:hAnsi="Times New Roman"/>
          <w:b/>
          <w:bCs/>
          <w:sz w:val="24"/>
          <w:szCs w:val="24"/>
        </w:rPr>
      </w:pPr>
      <w:r>
        <w:rPr>
          <w:rFonts w:ascii="Times New Roman" w:cs="Times New Roman" w:eastAsia="Times New Roman" w:hAnsi="Times New Roman" w:hint="default"/>
          <w:b/>
          <w:bCs/>
          <w:i w:val="false"/>
          <w:iCs w:val="false"/>
          <w:color w:val="36363d"/>
          <w:sz w:val="24"/>
          <w:szCs w:val="24"/>
          <w:highlight w:val="none"/>
          <w:vertAlign w:val="baseline"/>
          <w:em w:val="none"/>
          <w:lang w:val="en-US" w:bidi="ar-DZ"/>
        </w:rPr>
        <w:t>Supplementary Materials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S1. Characteristics of Included Studies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S2. Diagnostic Accuracy Data for Maternal Sepsis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S3. Conflict Zone Biomarker Cutoffs and Comparative Parameters.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S4. HSROC Model Parameters and Analysis.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S5. QUADAS-2 and Newcastle-Ottawa Scale Risk of Bias Assessments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S6. Funding Disclosures and Conflict of Interest Statements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xml:space="preserve">File S7. Checklist Summaries for PRISMA, AMSTAR-2, STROBE, PRISMA-DTA, and QUADAS-2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S8. Validation Report for the +5% RDW Adjustment Protocol.</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S9. CONFLICT-ADAPTED Analytical Framework and Protocols (Includes Protocols 1-3) .</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S10. Full R Analysis Scripts for Meta-Analysis.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File S11. Gap analysis.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Additional Outcome Analysis Tables: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Table S1: Maternal Sepsis Studies (21 studies, n = 7,539) - Comprehensive performance metrics.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Table S2: Preterm Birth Studies (15 studies, n = 8,450) - Predictive accuracy data.</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Table S3: Severe Preeclampsia Studies (7 studies, n = 2,575) - Biomarker performance.</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Table S4: Hemorrhage/Anemia Studies (5 studies, n = 1,115) - Correlation analyses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Table S5: Neonatal Mortality Studies (5 studies, n = 2,150) - Predictive values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Additional Figures: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S1. Electrical Failure Contingency Protocol.</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S2. Task-Shifting Implementation Framework.</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S3. Infrastructure Solutions Comparison.</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S4. Biomarker Kinetics During Sepsis Progression</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S5. Risk of Bias Assessment Heatmaps</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 Figure S6. Conflict-Adapted Triage Algorithm</w:t>
      </w:r>
    </w:p>
    <w:p>
      <w:pPr>
        <w:pStyle w:val="style0"/>
        <w:spacing w:after="200" w:lineRule="auto" w:line="360"/>
        <w:jc w:val="left"/>
        <w:rPr>
          <w:rFonts w:ascii="Times New Roman" w:cs="Times New Roman" w:eastAsia="Times New Roman" w:hAnsi="Times New Roman"/>
          <w:sz w:val="24"/>
          <w:szCs w:val="24"/>
        </w:rPr>
      </w:pPr>
      <w:r>
        <w:rPr>
          <w:rFonts w:ascii="Times New Roman" w:cs="Times New Roman" w:eastAsia="Times New Roman" w:hAnsi="Times New Roman" w:hint="default"/>
          <w:b w:val="false"/>
          <w:bCs w:val="false"/>
          <w:i w:val="false"/>
          <w:iCs w:val="false"/>
          <w:color w:val="36363d"/>
          <w:sz w:val="24"/>
          <w:szCs w:val="24"/>
          <w:highlight w:val="none"/>
          <w:vertAlign w:val="baseline"/>
          <w:em w:val="none"/>
          <w:lang w:val="en-US" w:bidi="ar-DZ"/>
        </w:rPr>
        <w:t>All supplementary files are available through the Open Science Framework repository: https://doi.org/10.17605/OSF.IO/YMUKF</w:t>
      </w:r>
    </w:p>
    <w:p>
      <w:pPr>
        <w:pStyle w:val="style0"/>
        <w:spacing w:lineRule="auto" w:line="360"/>
        <w:jc w:val="left"/>
        <w:rPr>
          <w:rFonts w:ascii="Times New Roman" w:cs="Times New Roman" w:eastAsia="Times New Roman" w:hAnsi="Times New Roman"/>
          <w:sz w:val="24"/>
          <w:szCs w:val="24"/>
        </w:rPr>
      </w:pP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b/>
          <w:bCs/>
          <w:sz w:val="32"/>
          <w:szCs w:val="32"/>
          <w:lang w:val="en-US"/>
        </w:rPr>
        <w:t>References</w:t>
      </w:r>
      <w:r>
        <w:rPr>
          <w:rFonts w:ascii="Times New Roman" w:cs="Times New Roman" w:eastAsia="Times New Roman" w:hAnsi="Times New Roman"/>
          <w:sz w:val="24"/>
          <w:szCs w:val="24"/>
          <w:lang w:val="en-US"/>
        </w:rPr>
        <w:t xml:space="preserve">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 World Health Organization. Global report on maternal sepsis: clinical evidence and operational guidance. Geneva: World Health Organization; 2023. ISBN 978-92-4-006525-0.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2. Médecins Sans Frontières. Field haematology manual: resource-limited settings edition. Amsterdam: MSF Operational Centre Amsterdam; 2023. [Link](https://msf-fieldguides.org/en/hematology-manual/)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3. Ali NT. Mean Corpuscular Volume (MCV) and Mean Platelet Volume (MPV) as early diagnostic markers for preeclampsia, gestational diabetes, and anemia. BMC Pregnancy Childbirth. 2025;25(1):722. doi:10.1186/s12884-025-07802-x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4. Royal College of Obstetricians and Gynaecologists. Sepsis in pregnancy: recognition, diagnosis and management (Green-top Guideline No. 64b). London: RCOG; 2023.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5. Patel KV, Mohanty JG, Kanapuru B, et al. Association of red cell distribution width with inflammatory markers in maternal sepsis. Am J Obstet Gynecol. 2022;227(3):431.e1-431.e9. doi:10.1016/j.ajog.2022.04.008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6. Salciccioli JD, Marshall DC, Pimentel MAF, et al. The association between neutrophil-to-lymphocyte ratio and clinical outcomes in obstetric emergencies. PLoS One. 2021;16(7):e0254221. doi:10.1371/journal.pone.0254221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7. Akseer N, Kamali M, Bakhache N, et al. Maternal health in humanitarian crises: a systematic review of interventions in fragile states. Lancet Glob Health. 2023;11(2):e257-e266. doi:10.1016/S2214-109X(22)00515-1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8. Ahmadi S, Al-Shaebi F, Rahman A. Diagnostic accuracy of hematological biomarkers for sepsis in Yemeni conflict settings. Confl Health. 2024;18(1):15. doi:10.1186/s13031-024-00561-0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9. United Nations High Commissioner for Refugees. Global trends: forced displacement in 2024. Geneva: UNHCR; 2024. (https://www.unhcr.org/global-trends)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10. McInnes MDF, Moher D, Thombs BD, et al. Preferred Reporting Items for a Systematic Review and Meta-analysis of Diagnostic Test Accuracy Studies: The PRISMA-DTA Statement. JAMA. 2018;319(4):388-396. doi:10.1001/jama.2017.19163</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11. Page MJ, McKenzie JE, Bossuyt PM, et al. The PRISMA 2020 statement: an updated guideline for reporting systematic reviews. BMJ. 2021;372:n71. Published 2021 Mar 29. doi:10.1136/bmj.n71</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12. Levy MM, Evans LE, Rhodes A. The Surviving Sepsis Campaign Bundle: 2023 Update. Intensive Care Med. 2023;49(2):177-185. doi:10.1007/s00134-022-06903-x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13. Médecins Sans Frontières. Reality Check: Diagnostics in Conflict Zones. Amsterdam: MSF; 2024. (https://msf-fieldguides.org/en/diagnostics-report-2024)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14. Fletcher R, Baker T, Bell M. Biomarker performance across resource settings: a meta-epidemiological study. Lancet Glob Health. 2024;12(1):e45-e53. doi:10.1016/S2214-109X(23)00451-0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15. Camaschella C. Iron deficiency. Blood. 2019;133(1):30-39. doi:10.1182/blood-2018-05-815944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16. Delano MJ, Ward PA. Sepsis-induced immune dysfunction. Nat Rev Immunol. 2024;24:1–15. doi:10.1038/s41577-024-01011-x  </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 xml:space="preserve">17. Pierre K, Louis F, Guillaume R. Triage efficiency in Haitian mobile clinics. Bull World Health Organ. 2024;102(3):210-218. doi:10.2471/BLT.23.290154  </w:t>
      </w:r>
    </w:p>
    <w:p>
      <w:pPr>
        <w:pStyle w:val="style0"/>
        <w:spacing w:after="200" w:lineRule="auto" w:line="360"/>
        <w:jc w:val="left"/>
        <w:rPr>
          <w:rFonts w:ascii="Times New Roman" w:cs="Times New Roman" w:eastAsia="Times New Roman" w:hAnsi="Times New Roman"/>
          <w:color w:val="bf0000"/>
          <w:sz w:val="24"/>
          <w:szCs w:val="24"/>
          <w:lang w:val="en-US"/>
        </w:rPr>
      </w:pPr>
      <w:r>
        <w:rPr>
          <w:rFonts w:ascii="Times New Roman" w:cs="Times New Roman" w:eastAsia="Times New Roman" w:hAnsi="Times New Roman"/>
          <w:sz w:val="24"/>
          <w:szCs w:val="24"/>
          <w:lang w:val="en-US"/>
        </w:rPr>
        <w:t>18. World Health Organization. (2023). WHO recommendations on maternal and newborn care for a positive postnatal experience. Geneva: WHO. https://www.who.int/publications/i/item/9789240045989</w:t>
      </w:r>
    </w:p>
    <w:p>
      <w:pPr>
        <w:pStyle w:val="style0"/>
        <w:spacing w:lineRule="auto" w:line="360"/>
        <w:jc w:val="left"/>
        <w:rPr>
          <w:rFonts w:ascii="Times New Roman" w:cs="Times New Roman" w:eastAsia="Times New Roman" w:hAnsi="Times New Roman"/>
          <w:sz w:val="24"/>
          <w:szCs w:val="24"/>
        </w:rPr>
      </w:pPr>
      <w:r>
        <w:rPr>
          <w:rFonts w:ascii="Times New Roman" w:cs="Times New Roman" w:eastAsia="Times New Roman" w:hAnsi="Times New Roman"/>
          <w:sz w:val="24"/>
          <w:szCs w:val="24"/>
          <w:lang w:val="en-US"/>
        </w:rPr>
        <w:t>19. UNFPA Yemen. Community Health Worker Training Manual: Arabic Edition. Sana'a: UNFPA; 2023. [Link](https://yemen.unfpa.org/health-worker-manual)</w:t>
      </w:r>
    </w:p>
    <w:p>
      <w:pPr>
        <w:pStyle w:val="style0"/>
        <w:spacing w:lineRule="auto" w:line="360"/>
        <w:jc w:val="left"/>
        <w:rPr>
          <w:rFonts w:ascii="Times New Roman" w:cs="Times New Roman" w:eastAsia="Times New Roman" w:hAnsi="Times New Roman"/>
          <w:sz w:val="24"/>
          <w:szCs w:val="24"/>
        </w:rPr>
      </w:pPr>
    </w:p>
    <w:p>
      <w:pPr>
        <w:pStyle w:val="style0"/>
        <w:spacing w:lineRule="auto" w:line="360"/>
        <w:jc w:val="left"/>
        <w:rPr>
          <w:rFonts w:ascii="Times New Roman" w:cs="Times New Roman" w:eastAsia="Times New Roman" w:hAnsi="Times New Roman"/>
          <w:sz w:val="24"/>
          <w:szCs w:val="24"/>
        </w:rPr>
      </w:pPr>
    </w:p>
    <w:p>
      <w:pPr>
        <w:pStyle w:val="style0"/>
        <w:spacing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color w:val="bf0000"/>
          <w:sz w:val="24"/>
          <w:szCs w:val="24"/>
          <w:lang w:val="en-US"/>
        </w:rPr>
        <w:t>48. Ali NT. Platelet Indices: A Low-Cost Early Warning System for Preeclampsia in Yemen's Fragile Healthcare Settings. Yemeni J Med Sci. 2025;19(5):33-47.</w:t>
      </w:r>
    </w:p>
    <w:p>
      <w:pPr>
        <w:pStyle w:val="style0"/>
        <w:spacing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color w:val="bf0000"/>
          <w:sz w:val="24"/>
          <w:szCs w:val="24"/>
          <w:lang w:val="en-US"/>
        </w:rPr>
        <w:t>49. AL-Gunied ASA, et al. Evaluation of the Complete Blood Count Parameters in Pregnant Women Presenting With Preeclampsia in AL-Gumhori Hospital Sana'a, Yemen. Sana'a Univ J Med Health Sci. 2025;19(2):181-185.</w:t>
      </w:r>
    </w:p>
    <w:p>
      <w:pPr>
        <w:pStyle w:val="style0"/>
        <w:spacing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color w:val="bf0000"/>
          <w:sz w:val="24"/>
          <w:szCs w:val="24"/>
          <w:lang w:val="en-US"/>
        </w:rPr>
        <w:t>50. Shoarishoar S, et al. Predication of Preeclampsia Severity by NLR and PLR. J Neonatal Surg. 2025;14(27S):829-836.</w:t>
      </w:r>
    </w:p>
    <w:p>
      <w:pPr>
        <w:pStyle w:val="style0"/>
        <w:spacing w:lineRule="auto" w:line="360"/>
        <w:jc w:val="left"/>
        <w:rPr>
          <w:rFonts w:ascii="Times New Roman" w:cs="Times New Roman" w:eastAsia="Times New Roman" w:hAnsi="Times New Roman"/>
          <w:color w:val="bf0000"/>
          <w:sz w:val="24"/>
          <w:szCs w:val="24"/>
        </w:rPr>
      </w:pPr>
      <w:r>
        <w:rPr>
          <w:rFonts w:ascii="Times New Roman" w:cs="Times New Roman" w:eastAsia="Times New Roman" w:hAnsi="Times New Roman"/>
          <w:color w:val="bf0000"/>
          <w:sz w:val="24"/>
          <w:szCs w:val="24"/>
          <w:lang w:val="en-US"/>
        </w:rPr>
        <w:t>51. Nwagha TU, et al. Assessment of some hematologic markers of Systemic Inflammatory Response as reliable biomarkers in detecting preeclampsia. Afr Health Sci. 2025;25(3):51-61.</w:t>
      </w:r>
    </w:p>
    <w:p>
      <w:pPr>
        <w:pStyle w:val="style0"/>
        <w:spacing w:lineRule="auto" w:line="360"/>
        <w:jc w:val="left"/>
        <w:rPr>
          <w:rFonts w:ascii="Times New Roman" w:cs="Times New Roman" w:eastAsia="Times New Roman" w:hAnsi="Times New Roman"/>
          <w:sz w:val="24"/>
          <w:szCs w:val="24"/>
        </w:rPr>
      </w:pPr>
    </w:p>
    <w:p>
      <w:pPr>
        <w:pStyle w:val="style0"/>
        <w:spacing w:lineRule="auto" w:line="360"/>
        <w:jc w:val="left"/>
        <w:rPr>
          <w:rFonts w:ascii="Times New Roman" w:cs="Times New Roman" w:eastAsia="Times New Roman" w:hAnsi="Times New Roman"/>
          <w:sz w:val="24"/>
          <w:szCs w:val="24"/>
        </w:rPr>
      </w:pPr>
    </w:p>
    <w:sectPr>
      <w:headerReference w:type="default" r:id="rId6"/>
      <w:footerReference w:type="default" r:id="rId7"/>
      <w:pgSz w:w="12240" w:h="15840" w:orient="portrait"/>
      <w:pgMar w:top="1440" w:right="1415" w:bottom="1440" w:left="1422" w:header="720" w:footer="720" w:gutter="0"/>
      <w:pgNumType w:fmt="decimal" w:start="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0020304"/>
    <w:charset w:val="00"/>
    <w:family w:val="roman"/>
    <w:pitch w:val="variable"/>
    <w:sig w:usb0="20007A87" w:usb1="80000000" w:usb2="00000008" w:usb3="00000000" w:csb0="000001FF" w:csb1="00000000"/>
  </w:font>
  <w:font w:name="Arial">
    <w:altName w:val="Arial"/>
    <w:panose1 w:val="020b0604020000020204"/>
    <w:charset w:val="01"/>
    <w:family w:val="swiss"/>
    <w:pitch w:val="default"/>
    <w:sig w:usb0="00007A87" w:usb1="80000000" w:usb2="00000008" w:usb3="00000000" w:csb0="400001FF" w:csb1="FFFF0000"/>
  </w:font>
  <w:font w:name="Calibri">
    <w:altName w:val="Calibri"/>
    <w:panose1 w:val="020f0502020000030204"/>
    <w:charset w:val="7a"/>
    <w:family w:val="swiss"/>
    <w:pitch w:val="default"/>
    <w:sig w:usb0="E10002FF" w:usb1="4000ACFF" w:usb2="00000009" w:usb3="00000000" w:csb0="2000019F" w:csb1="00000000"/>
  </w:font>
  <w:font w:name="Cambria">
    <w:altName w:val="Cambria"/>
    <w:panose1 w:val="02040503050000030204"/>
    <w:charset w:val="00"/>
    <w:family w:val="roman"/>
    <w:pitch w:val="default"/>
    <w:sig w:usb0="E00002FF" w:usb1="400004FF" w:usb2="00000000" w:usb3="00000000" w:csb0="2000019F" w:csb1="00000000"/>
  </w:font>
  <w:font w:name="ＭＳ 明朝">
    <w:altName w:val="Times New Roman"/>
    <w:panose1 w:val="02020603050000020304"/>
    <w:charset w:val="00"/>
    <w:family w:val="roman"/>
    <w:pitch w:val="variable"/>
    <w:sig w:usb0="20007A87" w:usb1="80000000" w:usb2="00000008" w:usb3="00000000" w:csb0="000001FF" w:csb1="00000000"/>
  </w:font>
  <w:font w:name="宋体">
    <w:altName w:val="Wingdings 2"/>
    <w:panose1 w:val="05020102010000070707"/>
    <w:charset w:val="02"/>
    <w:family w:val="roman"/>
    <w:pitch w:val="default"/>
    <w:sig w:usb0="00000000" w:usb1="10000000" w:usb2="00000000" w:usb3="00000000" w:csb0="80000000" w:csb1="00000000"/>
  </w:font>
  <w:font w:name="ＭＳ ゴシック">
    <w:altName w:val="Times New Roman"/>
    <w:panose1 w:val="02020603050000020304"/>
    <w:charset w:val="00"/>
    <w:family w:val="roman"/>
    <w:pitch w:val="variable"/>
    <w:sig w:usb0="20007A87" w:usb1="80000000" w:usb2="00000008" w:usb3="00000000" w:csb0="000001FF" w:csb1="00000000"/>
  </w:font>
</w:fonts>
</file>

<file path=word/footer2.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1"/>
      <w:jc w:val="center"/>
      <w:rPr/>
    </w:pPr>
    <w:r>
      <w:rPr/>
      <w:fldChar w:fldCharType="begin"/>
    </w:r>
    <w:r>
      <w:instrText>PAGE</w:instrText>
    </w:r>
    <w:r>
      <w:rPr/>
      <w:fldChar w:fldCharType="separate"/>
    </w:r>
    <w:r>
      <w:t>1</w:t>
    </w:r>
    <w:r>
      <w:rPr/>
      <w:fldChar w:fldCharType="end"/>
    </w:r>
  </w:p>
</w:ftr>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0"/>
      <w:jc w:val="center"/>
      <w:rPr>
        <w:rStyle w:val="style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00"/>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oNotTrackMoves/>
  <w:documentProtection w:formatting="0" w:enforcement="0"/>
  <w:defaultTabStop w:val="720"/>
  <w:bookFoldPrintingSheets w:val="0"/>
  <w:drawingGridHorizontalSpacing w:val="180"/>
  <w:drawingGridVerticalSpacing w:val="180"/>
  <w:displayHorizontalDrawingGridEvery w:val="1"/>
  <w:displayVerticalDrawingGridEvery w:val="1"/>
  <w:drawingGridHorizontalOrigin w:val="1440"/>
  <w:drawingGridVerticalOrigin w:val="1440"/>
  <w:characterSpacingControl w:val="doNotCompress"/>
  <w:endnotePr>
    <w:pos w:val="docEnd"/>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m:mathPr>
    <m:mathFont m:val="宋体"/>
    <m:brkBin m:val="before"/>
    <m:brkBinSub m:val="--"/>
    <m:smallFrac m:val="0"/>
    <m:dispDef/>
    <m:lMargin m:val="0"/>
    <m:rMargin m:val="0"/>
    <m:defJc m:val="centerGroup"/>
    <m:wrapIndent m:val="1440"/>
    <m:intLim m:val="subSup"/>
    <m:naryLim m:val="undOvr"/>
  </m:mathPr>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Arial" w:eastAsia="Arial" w:hAnsi="Arial"/>
      </w:rPr>
    </w:rPrDefault>
    <w:pPrDefault>
      <w:pPr/>
    </w:pPrDefault>
  </w:docDefaults>
  <w:style w:type="paragraph" w:default="1" w:styleId="style0">
    <w:name w:val="Normal"/>
    <w:next w:val="style0"/>
    <w:pPr>
      <w:spacing w:before="0" w:after="200" w:lineRule="auto" w:line="276"/>
      <w:ind w:left="0" w:right="0"/>
      <w:jc w:val="both"/>
    </w:pPr>
    <w:rPr>
      <w:rFonts w:ascii="Arial" w:cs="Arial" w:eastAsia="Arial" w:hAnsi="Arial"/>
      <w:sz w:val="21"/>
      <w:szCs w:val="22"/>
      <w:lang w:val="en-US"/>
    </w:rPr>
  </w:style>
  <w:style w:type="character" w:default="1" w:styleId="style65">
    <w:name w:val="Default Paragraph Font"/>
    <w:next w:val="style65"/>
    <w:rPr>
      <w:rFonts w:ascii="Arial" w:cs="Arial" w:eastAsia="Arial" w:hAnsi="Arial"/>
      <w:sz w:val="22"/>
      <w:szCs w:val="22"/>
      <w:lang w:val="en-US"/>
    </w:rPr>
  </w:style>
  <w:style w:type="character" w:customStyle="1" w:styleId="style4097">
    <w:name w:val="Header Char_c4ab5432-c09c-4638-990d-08964d8e26c1"/>
    <w:basedOn w:val="style65"/>
    <w:next w:val="style4097"/>
    <w:link w:val="style31"/>
    <w:rPr>
      <w:rFonts w:ascii="Arial" w:cs="Arial" w:eastAsia="Arial" w:hAnsi="Arial"/>
      <w:sz w:val="22"/>
      <w:szCs w:val="22"/>
      <w:lang w:val="en-US"/>
    </w:rPr>
  </w:style>
  <w:style w:type="paragraph" w:styleId="style31">
    <w:name w:val="header"/>
    <w:basedOn w:val="style0"/>
    <w:next w:val="style31"/>
    <w:link w:val="style4097"/>
    <w:pPr>
      <w:tabs>
        <w:tab w:val="center" w:leader="none" w:pos="4320"/>
        <w:tab w:val="right" w:leader="none" w:pos="8640"/>
      </w:tabs>
      <w:spacing w:after="0" w:lineRule="auto" w:line="240"/>
    </w:pPr>
    <w:rPr>
      <w:rFonts w:ascii="Arial" w:cs="Arial" w:eastAsia="Arial" w:hAnsi="Arial"/>
      <w:sz w:val="22"/>
      <w:szCs w:val="22"/>
      <w:lang w:val="en-US"/>
    </w:rPr>
  </w:style>
  <w:style w:type="paragraph" w:customStyle="1" w:styleId="style4098">
    <w:name w:val="normal"/>
    <w:next w:val="style4098"/>
    <w:pPr>
      <w:spacing w:after="200" w:lineRule="auto" w:line="276"/>
    </w:pPr>
    <w:rPr>
      <w:rFonts w:ascii="Arial" w:cs="Arial" w:eastAsia="Arial" w:hAnsi="Arial"/>
      <w:sz w:val="22"/>
      <w:szCs w:val="22"/>
      <w:lang w:val="en-US"/>
    </w:rPr>
  </w:style>
  <w:style w:type="paragraph" w:styleId="style1">
    <w:name w:val="heading 1"/>
    <w:basedOn w:val="style4098"/>
    <w:next w:val="style1"/>
    <w:pPr>
      <w:keepNext/>
      <w:keepLines/>
      <w:widowControl w:val="false"/>
      <w:spacing w:before="480" w:after="0" w:lineRule="auto" w:line="276"/>
      <w:ind w:left="0" w:right="0"/>
    </w:pPr>
    <w:rPr>
      <w:rFonts w:ascii="Calibri" w:cs="Calibri" w:eastAsia="Calibri" w:hAnsi="Calibri"/>
      <w:b/>
      <w:bCs/>
      <w:color w:val="365f91"/>
      <w:sz w:val="28"/>
      <w:szCs w:val="28"/>
      <w:lang w:val="en-US"/>
    </w:rPr>
  </w:style>
  <w:style w:type="paragraph" w:styleId="style2">
    <w:name w:val="heading 2"/>
    <w:basedOn w:val="style4098"/>
    <w:next w:val="style4098"/>
    <w:pPr>
      <w:keepNext/>
      <w:keepLines/>
      <w:spacing w:before="200" w:after="0" w:lineRule="auto" w:line="276"/>
    </w:pPr>
    <w:rPr>
      <w:rFonts w:ascii="Calibri" w:cs="Calibri" w:eastAsia="Calibri" w:hAnsi="Calibri"/>
      <w:b/>
      <w:color w:val="4f81bd"/>
      <w:sz w:val="26"/>
      <w:szCs w:val="26"/>
      <w:lang w:val="en-US"/>
    </w:rPr>
  </w:style>
  <w:style w:type="paragraph" w:styleId="style3">
    <w:name w:val="heading 3"/>
    <w:basedOn w:val="style4098"/>
    <w:next w:val="style4098"/>
    <w:pPr>
      <w:keepNext/>
      <w:keepLines/>
      <w:spacing w:before="200" w:after="0" w:lineRule="auto" w:line="276"/>
    </w:pPr>
    <w:rPr>
      <w:rFonts w:ascii="Calibri" w:cs="Calibri" w:eastAsia="Calibri" w:hAnsi="Calibri"/>
      <w:b/>
      <w:color w:val="4f81bd"/>
      <w:sz w:val="22"/>
      <w:szCs w:val="22"/>
      <w:lang w:val="en-US"/>
    </w:rPr>
  </w:style>
  <w:style w:type="paragraph" w:styleId="style4">
    <w:name w:val="heading 4"/>
    <w:basedOn w:val="style4098"/>
    <w:next w:val="style4098"/>
    <w:pPr>
      <w:keepNext/>
      <w:keepLines/>
      <w:spacing w:before="200" w:after="0" w:lineRule="auto" w:line="276"/>
    </w:pPr>
    <w:rPr>
      <w:rFonts w:ascii="Calibri" w:cs="Calibri" w:eastAsia="Calibri" w:hAnsi="Calibri"/>
      <w:b/>
      <w:i/>
      <w:color w:val="4f81bd"/>
      <w:sz w:val="22"/>
      <w:szCs w:val="22"/>
      <w:lang w:val="en-US"/>
    </w:rPr>
  </w:style>
  <w:style w:type="paragraph" w:styleId="style5">
    <w:name w:val="heading 5"/>
    <w:basedOn w:val="style4098"/>
    <w:next w:val="style4098"/>
    <w:pPr>
      <w:keepNext/>
      <w:keepLines/>
      <w:spacing w:before="200" w:after="0" w:lineRule="auto" w:line="276"/>
    </w:pPr>
    <w:rPr>
      <w:rFonts w:ascii="Calibri" w:cs="Calibri" w:eastAsia="Calibri" w:hAnsi="Calibri"/>
      <w:color w:val="243f60"/>
      <w:sz w:val="22"/>
      <w:szCs w:val="22"/>
      <w:lang w:val="en-US"/>
    </w:rPr>
  </w:style>
  <w:style w:type="paragraph" w:styleId="style6">
    <w:name w:val="heading 6"/>
    <w:basedOn w:val="style4098"/>
    <w:next w:val="style4098"/>
    <w:pPr>
      <w:keepNext/>
      <w:keepLines/>
      <w:spacing w:before="200" w:after="0" w:lineRule="auto" w:line="276"/>
    </w:pPr>
    <w:rPr>
      <w:rFonts w:ascii="Calibri" w:cs="Calibri" w:eastAsia="Calibri" w:hAnsi="Calibri"/>
      <w:i/>
      <w:color w:val="243f60"/>
      <w:sz w:val="22"/>
      <w:szCs w:val="22"/>
      <w:lang w:val="en-US"/>
    </w:rPr>
  </w:style>
  <w:style w:type="table" w:default="1" w:styleId="style105">
    <w:name w:val="Normal Table"/>
    <w:next w:val="style105"/>
    <w:pPr>
      <w:spacing w:after="200" w:lineRule="auto" w:line="276"/>
    </w:pPr>
    <w:rPr>
      <w:rFonts w:ascii="Arial" w:cs="Arial" w:eastAsia="Arial" w:hAnsi="Arial"/>
      <w:sz w:val="22"/>
      <w:szCs w:val="22"/>
      <w:lang w:val="en-US"/>
    </w:rPr>
    <w:tblPr>
      <w:tblInd w:w="0" w:type="dxa"/>
      <w:tblCellMar>
        <w:top w:w="0" w:type="dxa"/>
        <w:left w:w="108" w:type="dxa"/>
        <w:bottom w:w="0" w:type="dxa"/>
        <w:right w:w="108" w:type="dxa"/>
      </w:tblCellMar>
    </w:tblPr>
    <w:tcPr>
      <w:tcBorders/>
    </w:tcPr>
  </w:style>
  <w:style w:type="table" w:customStyle="1" w:styleId="style4099">
    <w:name w:val="Table Normal"/>
    <w:next w:val="style4099"/>
    <w:pPr>
      <w:spacing w:after="200" w:lineRule="auto" w:line="276"/>
    </w:pPr>
    <w:rPr>
      <w:rFonts w:ascii="Arial" w:cs="Arial" w:eastAsia="Arial" w:hAnsi="Arial"/>
      <w:sz w:val="22"/>
      <w:szCs w:val="22"/>
      <w:lang w:val="en-US"/>
    </w:rPr>
    <w:tblPr>
      <w:tblLayout w:type="fixed"/>
    </w:tblPr>
    <w:tcPr>
      <w:tcBorders/>
    </w:tcPr>
  </w:style>
  <w:style w:type="paragraph" w:styleId="style62">
    <w:name w:val="Title"/>
    <w:basedOn w:val="style4098"/>
    <w:next w:val="style4098"/>
    <w:pPr>
      <w:pBdr>
        <w:bottom w:val="single" w:sz="8" w:space="4" w:color="4f81bd"/>
      </w:pBdr>
      <w:spacing w:after="300" w:lineRule="auto" w:line="240"/>
    </w:pPr>
    <w:rPr>
      <w:rFonts w:ascii="Calibri" w:cs="Calibri" w:eastAsia="Calibri" w:hAnsi="Calibri"/>
      <w:color w:val="17365d"/>
      <w:sz w:val="52"/>
      <w:szCs w:val="52"/>
      <w:lang w:val="en-US"/>
    </w:rPr>
  </w:style>
  <w:style w:type="paragraph" w:styleId="style74">
    <w:name w:val="Subtitle"/>
    <w:basedOn w:val="style4098"/>
    <w:next w:val="style4098"/>
    <w:pPr>
      <w:spacing w:after="200" w:lineRule="auto" w:line="276"/>
    </w:pPr>
    <w:rPr>
      <w:rFonts w:ascii="Calibri" w:cs="Calibri" w:eastAsia="Calibri" w:hAnsi="Calibri"/>
      <w:i/>
      <w:color w:val="4f81bd"/>
      <w:sz w:val="24"/>
      <w:szCs w:val="24"/>
      <w:lang w:val="en-US"/>
    </w:rPr>
  </w:style>
  <w:style w:type="table" w:customStyle="1" w:styleId="style4100">
    <w:basedOn w:val="style4099"/>
    <w:next w:val="style4100"/>
    <w:pPr>
      <w:spacing w:after="0" w:lineRule="auto" w:line="240"/>
    </w:pPr>
    <w:rPr>
      <w:rFonts w:ascii="Arial" w:cs="Arial" w:eastAsia="Arial" w:hAnsi="Arial"/>
      <w:sz w:val="22"/>
      <w:szCs w:val="22"/>
      <w:lang w:val="en-US"/>
    </w:rPr>
    <w:tblPr>
      <w:tblStyleRowBandSize w:val="1"/>
      <w:tblStyleColBandSize w:val="1"/>
      <w:tblCellMar>
        <w:top w:w="0" w:type="dxa"/>
        <w:left w:w="115" w:type="dxa"/>
        <w:bottom w:w="0" w:type="dxa"/>
        <w:right w:w="115" w:type="dxa"/>
      </w:tblCellMar>
    </w:tblPr>
    <w:tcPr>
      <w:tcBorders/>
    </w:tcPr>
  </w:style>
  <w:style w:type="table" w:customStyle="1" w:styleId="style4101">
    <w:basedOn w:val="style4099"/>
    <w:next w:val="style4101"/>
    <w:pPr>
      <w:spacing w:after="0" w:lineRule="auto" w:line="240"/>
    </w:pPr>
    <w:rPr>
      <w:rFonts w:ascii="Arial" w:cs="Arial" w:eastAsia="Arial" w:hAnsi="Arial"/>
      <w:sz w:val="22"/>
      <w:szCs w:val="22"/>
      <w:lang w:val="en-US"/>
    </w:rPr>
    <w:tblPr>
      <w:tblStyleRowBandSize w:val="1"/>
      <w:tblStyleColBandSize w:val="1"/>
      <w:tblCellMar>
        <w:top w:w="0" w:type="dxa"/>
        <w:left w:w="115" w:type="dxa"/>
        <w:bottom w:w="0" w:type="dxa"/>
        <w:right w:w="115" w:type="dxa"/>
      </w:tblCellMar>
    </w:tblPr>
    <w:tcPr>
      <w:tcBorders/>
    </w:tcPr>
  </w:style>
  <w:style w:type="table" w:styleId="style154">
    <w:name w:val="Table Grid"/>
    <w:basedOn w:val="style105"/>
    <w:next w:val="style154"/>
    <w:pPr>
      <w:spacing w:after="200" w:lineRule="auto" w:line="276"/>
    </w:pPr>
    <w:rPr>
      <w:rFonts w:ascii="Arial" w:cs="Arial" w:eastAsia="Arial" w:hAnsi="Arial"/>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cPr>
  </w:style>
  <w:style w:type="table" w:styleId="style167">
    <w:name w:val="Medium Grid 3"/>
    <w:basedOn w:val="style105"/>
    <w:next w:val="style167"/>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c0c0c0"/>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000000"/>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000000"/>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808080"/>
      </w:tcPr>
    </w:tblStylePr>
    <w:tblStylePr w:type="firstCol">
      <w:pPr/>
      <w:tblPr/>
      <w:tcPr>
        <w:tcBorders>
          <w:left w:val="single" w:sz="8" w:space="0" w:color="cce8cf"/>
          <w:right w:val="single" w:sz="24" w:space="0" w:color="cce8cf"/>
          <w:insideH w:val="nil"/>
          <w:insideV w:val="nil"/>
        </w:tcBorders>
        <w:shd w:val="clear" w:color="auto" w:fill="000000"/>
      </w:tcPr>
    </w:tblStylePr>
    <w:tblStylePr w:type="lastCol">
      <w:pPr/>
      <w:tblPr/>
      <w:tcPr>
        <w:tcBorders>
          <w:top w:val="nil"/>
          <w:left w:val="single" w:sz="24" w:space="0" w:color="cce8cf"/>
          <w:bottom w:val="nil"/>
          <w:right w:val="nil"/>
          <w:insideH w:val="nil"/>
          <w:insideV w:val="nil"/>
        </w:tcBorders>
        <w:shd w:val="clear" w:color="auto" w:fill="000000"/>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808080"/>
      </w:tcPr>
    </w:tblStylePr>
    <w:tcPr>
      <w:tcBorders/>
      <w:shd w:val="clear" w:color="auto" w:fill="c0c0c0"/>
    </w:tcPr>
  </w:style>
  <w:style w:type="table" w:styleId="style185">
    <w:name w:val="Medium Grid 3 Accent 1"/>
    <w:basedOn w:val="style105"/>
    <w:next w:val="style185"/>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d3dfee"/>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4f81bd"/>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4f81bd"/>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a7bfde"/>
      </w:tcPr>
    </w:tblStylePr>
    <w:tblStylePr w:type="firstCol">
      <w:pPr/>
      <w:tblPr/>
      <w:tcPr>
        <w:tcBorders>
          <w:left w:val="single" w:sz="8" w:space="0" w:color="cce8cf"/>
          <w:right w:val="single" w:sz="24" w:space="0" w:color="cce8cf"/>
          <w:insideH w:val="nil"/>
          <w:insideV w:val="nil"/>
        </w:tcBorders>
        <w:shd w:val="clear" w:color="auto" w:fill="4f81bd"/>
      </w:tcPr>
    </w:tblStylePr>
    <w:tblStylePr w:type="lastCol">
      <w:pPr/>
      <w:tblPr/>
      <w:tcPr>
        <w:tcBorders>
          <w:top w:val="nil"/>
          <w:left w:val="single" w:sz="24" w:space="0" w:color="cce8cf"/>
          <w:bottom w:val="nil"/>
          <w:right w:val="nil"/>
          <w:insideH w:val="nil"/>
          <w:insideV w:val="nil"/>
        </w:tcBorders>
        <w:shd w:val="clear" w:color="auto" w:fill="4f81bd"/>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a7bfde"/>
      </w:tcPr>
    </w:tblStylePr>
    <w:tcPr>
      <w:tcBorders/>
      <w:shd w:val="clear" w:color="auto" w:fill="d3dfee"/>
    </w:tcPr>
  </w:style>
  <w:style w:type="table" w:styleId="style199">
    <w:name w:val="Medium Grid 3 Accent 2"/>
    <w:basedOn w:val="style105"/>
    <w:next w:val="style199"/>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efd3d2"/>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c0504d"/>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c0504d"/>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dfa7a6"/>
      </w:tcPr>
    </w:tblStylePr>
    <w:tblStylePr w:type="firstCol">
      <w:pPr/>
      <w:tblPr/>
      <w:tcPr>
        <w:tcBorders>
          <w:left w:val="single" w:sz="8" w:space="0" w:color="cce8cf"/>
          <w:right w:val="single" w:sz="24" w:space="0" w:color="cce8cf"/>
          <w:insideH w:val="nil"/>
          <w:insideV w:val="nil"/>
        </w:tcBorders>
        <w:shd w:val="clear" w:color="auto" w:fill="c0504d"/>
      </w:tcPr>
    </w:tblStylePr>
    <w:tblStylePr w:type="lastCol">
      <w:pPr/>
      <w:tblPr/>
      <w:tcPr>
        <w:tcBorders>
          <w:top w:val="nil"/>
          <w:left w:val="single" w:sz="24" w:space="0" w:color="cce8cf"/>
          <w:bottom w:val="nil"/>
          <w:right w:val="nil"/>
          <w:insideH w:val="nil"/>
          <w:insideV w:val="nil"/>
        </w:tcBorders>
        <w:shd w:val="clear" w:color="auto" w:fill="c0504d"/>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dfa7a6"/>
      </w:tcPr>
    </w:tblStylePr>
    <w:tcPr>
      <w:tcBorders/>
      <w:shd w:val="clear" w:color="auto" w:fill="efd3d2"/>
    </w:tcPr>
  </w:style>
  <w:style w:type="table" w:styleId="style213">
    <w:name w:val="Medium Grid 3 Accent 3"/>
    <w:basedOn w:val="style105"/>
    <w:next w:val="style213"/>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e6eed5"/>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9bbb59"/>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9bbb59"/>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cdddac"/>
      </w:tcPr>
    </w:tblStylePr>
    <w:tblStylePr w:type="firstCol">
      <w:pPr/>
      <w:tblPr/>
      <w:tcPr>
        <w:tcBorders>
          <w:left w:val="single" w:sz="8" w:space="0" w:color="cce8cf"/>
          <w:right w:val="single" w:sz="24" w:space="0" w:color="cce8cf"/>
          <w:insideH w:val="nil"/>
          <w:insideV w:val="nil"/>
        </w:tcBorders>
        <w:shd w:val="clear" w:color="auto" w:fill="9bbb59"/>
      </w:tcPr>
    </w:tblStylePr>
    <w:tblStylePr w:type="lastCol">
      <w:pPr/>
      <w:tblPr/>
      <w:tcPr>
        <w:tcBorders>
          <w:top w:val="nil"/>
          <w:left w:val="single" w:sz="24" w:space="0" w:color="cce8cf"/>
          <w:bottom w:val="nil"/>
          <w:right w:val="nil"/>
          <w:insideH w:val="nil"/>
          <w:insideV w:val="nil"/>
        </w:tcBorders>
        <w:shd w:val="clear" w:color="auto" w:fill="9bbb59"/>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cdddac"/>
      </w:tcPr>
    </w:tblStylePr>
    <w:tcPr>
      <w:tcBorders/>
      <w:shd w:val="clear" w:color="auto" w:fill="e6eed5"/>
    </w:tcPr>
  </w:style>
  <w:style w:type="table" w:styleId="style227">
    <w:name w:val="Medium Grid 3 Accent 4"/>
    <w:basedOn w:val="style105"/>
    <w:next w:val="style227"/>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dfd8e8"/>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8064a2"/>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8064a2"/>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bfb1d0"/>
      </w:tcPr>
    </w:tblStylePr>
    <w:tblStylePr w:type="firstCol">
      <w:pPr/>
      <w:tblPr/>
      <w:tcPr>
        <w:tcBorders>
          <w:left w:val="single" w:sz="8" w:space="0" w:color="cce8cf"/>
          <w:right w:val="single" w:sz="24" w:space="0" w:color="cce8cf"/>
          <w:insideH w:val="nil"/>
          <w:insideV w:val="nil"/>
        </w:tcBorders>
        <w:shd w:val="clear" w:color="auto" w:fill="8064a2"/>
      </w:tcPr>
    </w:tblStylePr>
    <w:tblStylePr w:type="lastCol">
      <w:pPr/>
      <w:tblPr/>
      <w:tcPr>
        <w:tcBorders>
          <w:top w:val="nil"/>
          <w:left w:val="single" w:sz="24" w:space="0" w:color="cce8cf"/>
          <w:bottom w:val="nil"/>
          <w:right w:val="nil"/>
          <w:insideH w:val="nil"/>
          <w:insideV w:val="nil"/>
        </w:tcBorders>
        <w:shd w:val="clear" w:color="auto" w:fill="8064a2"/>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bfb1d0"/>
      </w:tcPr>
    </w:tblStylePr>
    <w:tcPr>
      <w:tcBorders/>
      <w:shd w:val="clear" w:color="auto" w:fill="dfd8e8"/>
    </w:tcPr>
  </w:style>
  <w:style w:type="table" w:styleId="style241">
    <w:name w:val="Medium Grid 3 Accent 5"/>
    <w:basedOn w:val="style105"/>
    <w:next w:val="style241"/>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d2eaf1"/>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4bacc6"/>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4bacc6"/>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a5d5e2"/>
      </w:tcPr>
    </w:tblStylePr>
    <w:tblStylePr w:type="firstCol">
      <w:pPr/>
      <w:tblPr/>
      <w:tcPr>
        <w:tcBorders>
          <w:left w:val="single" w:sz="8" w:space="0" w:color="cce8cf"/>
          <w:right w:val="single" w:sz="24" w:space="0" w:color="cce8cf"/>
          <w:insideH w:val="nil"/>
          <w:insideV w:val="nil"/>
        </w:tcBorders>
        <w:shd w:val="clear" w:color="auto" w:fill="4bacc6"/>
      </w:tcPr>
    </w:tblStylePr>
    <w:tblStylePr w:type="lastCol">
      <w:pPr/>
      <w:tblPr/>
      <w:tcPr>
        <w:tcBorders>
          <w:top w:val="nil"/>
          <w:left w:val="single" w:sz="24" w:space="0" w:color="cce8cf"/>
          <w:bottom w:val="nil"/>
          <w:right w:val="nil"/>
          <w:insideH w:val="nil"/>
          <w:insideV w:val="nil"/>
        </w:tcBorders>
        <w:shd w:val="clear" w:color="auto" w:fill="4bacc6"/>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a5d5e2"/>
      </w:tcPr>
    </w:tblStylePr>
    <w:tcPr>
      <w:tcBorders/>
      <w:shd w:val="clear" w:color="auto" w:fill="d2eaf1"/>
    </w:tcPr>
  </w:style>
  <w:style w:type="table" w:styleId="style255">
    <w:name w:val="Medium Grid 3 Accent 6"/>
    <w:basedOn w:val="style105"/>
    <w:next w:val="style255"/>
    <w:pPr>
      <w:spacing w:after="200" w:lineRule="auto" w:line="276"/>
    </w:pPr>
    <w:rPr>
      <w:rFonts w:ascii="Arial" w:cs="Arial" w:eastAsia="Arial" w:hAnsi="Arial"/>
      <w:sz w:val="22"/>
      <w:szCs w:val="22"/>
      <w:lang w:val="en-US"/>
    </w:rPr>
    <w:tblPr>
      <w:tblStyleRowBandSize w:val="1"/>
      <w:tblStyleColBandSize w:val="1"/>
      <w:tblInd w:w="0" w:type="dxa"/>
      <w:tblBorders>
        <w:top w:val="single" w:sz="8" w:space="0" w:color="cce8cf"/>
        <w:left w:val="single" w:sz="8" w:space="0" w:color="cce8cf"/>
        <w:bottom w:val="single" w:sz="8" w:space="0" w:color="cce8cf"/>
        <w:right w:val="single" w:sz="8" w:space="0" w:color="cce8cf"/>
        <w:insideH w:val="single" w:sz="6" w:space="0" w:color="cce8cf"/>
        <w:insideV w:val="single" w:sz="6" w:space="0" w:color="cce8cf"/>
      </w:tblBorders>
      <w:shd w:val="clear" w:color="auto" w:fill="fde4d0"/>
      <w:tblCellMar>
        <w:top w:w="0" w:type="dxa"/>
        <w:left w:w="108" w:type="dxa"/>
        <w:bottom w:w="0" w:type="dxa"/>
        <w:right w:w="108" w:type="dxa"/>
      </w:tblCellMar>
    </w:tblPr>
    <w:tblStylePr w:type="firstRow">
      <w:pPr/>
      <w:tblPr/>
      <w:tcPr>
        <w:tcBorders>
          <w:top w:val="single" w:sz="8" w:space="0" w:color="cce8cf"/>
          <w:left w:val="single" w:sz="8" w:space="0" w:color="cce8cf"/>
          <w:bottom w:val="single" w:sz="24" w:space="0" w:color="cce8cf"/>
          <w:right w:val="single" w:sz="8" w:space="0" w:color="cce8cf"/>
          <w:insideH w:val="nil"/>
          <w:insideV w:val="single" w:sz="8" w:space="0" w:color="cce8cf"/>
        </w:tcBorders>
        <w:shd w:val="clear" w:color="auto" w:fill="f79646"/>
      </w:tcPr>
    </w:tblStylePr>
    <w:tblStylePr w:type="lastRow">
      <w:pPr/>
      <w:tblPr/>
      <w:tcPr>
        <w:tcBorders>
          <w:top w:val="single" w:sz="24" w:space="0" w:color="cce8cf"/>
          <w:left w:val="single" w:sz="8" w:space="0" w:color="cce8cf"/>
          <w:bottom w:val="single" w:sz="8" w:space="0" w:color="cce8cf"/>
          <w:right w:val="single" w:sz="8" w:space="0" w:color="cce8cf"/>
          <w:insideH w:val="nil"/>
          <w:insideV w:val="single" w:sz="8" w:space="0" w:color="cce8cf"/>
        </w:tcBorders>
        <w:shd w:val="clear" w:color="auto" w:fill="f79646"/>
      </w:tcPr>
    </w:tblStylePr>
    <w:tblStylePr w:type="band1Horz">
      <w:pPr/>
      <w:tblPr/>
      <w:tcPr>
        <w:tcBorders>
          <w:top w:val="single" w:sz="8" w:space="0" w:color="cce8cf"/>
          <w:left w:val="single" w:sz="8" w:space="0" w:color="cce8cf"/>
          <w:bottom w:val="single" w:sz="8" w:space="0" w:color="cce8cf"/>
          <w:right w:val="single" w:sz="8" w:space="0" w:color="cce8cf"/>
          <w:insideH w:val="single" w:sz="8" w:space="0" w:color="cce8cf"/>
          <w:insideV w:val="single" w:sz="8" w:space="0" w:color="cce8cf"/>
        </w:tcBorders>
        <w:shd w:val="clear" w:color="auto" w:fill="fbcaa2"/>
      </w:tcPr>
    </w:tblStylePr>
    <w:tblStylePr w:type="firstCol">
      <w:pPr/>
      <w:tblPr/>
      <w:tcPr>
        <w:tcBorders>
          <w:left w:val="single" w:sz="8" w:space="0" w:color="cce8cf"/>
          <w:right w:val="single" w:sz="24" w:space="0" w:color="cce8cf"/>
          <w:insideH w:val="nil"/>
          <w:insideV w:val="nil"/>
        </w:tcBorders>
        <w:shd w:val="clear" w:color="auto" w:fill="f79646"/>
      </w:tcPr>
    </w:tblStylePr>
    <w:tblStylePr w:type="lastCol">
      <w:pPr/>
      <w:tblPr/>
      <w:tcPr>
        <w:tcBorders>
          <w:top w:val="nil"/>
          <w:left w:val="single" w:sz="24" w:space="0" w:color="cce8cf"/>
          <w:bottom w:val="nil"/>
          <w:right w:val="nil"/>
          <w:insideH w:val="nil"/>
          <w:insideV w:val="nil"/>
        </w:tcBorders>
        <w:shd w:val="clear" w:color="auto" w:fill="f79646"/>
      </w:tcPr>
    </w:tblStylePr>
    <w:tblStylePr w:type="band1Vert">
      <w:pPr/>
      <w:tblPr/>
      <w:tcPr>
        <w:tcBorders>
          <w:top w:val="single" w:sz="8" w:space="0" w:color="cce8cf"/>
          <w:left w:val="single" w:sz="8" w:space="0" w:color="cce8cf"/>
          <w:bottom w:val="single" w:sz="8" w:space="0" w:color="cce8cf"/>
          <w:right w:val="single" w:sz="8" w:space="0" w:color="cce8cf"/>
          <w:insideH w:val="nil"/>
          <w:insideV w:val="nil"/>
        </w:tcBorders>
        <w:shd w:val="clear" w:color="auto" w:fill="fbcaa2"/>
      </w:tcPr>
    </w:tblStylePr>
    <w:tcPr>
      <w:tcBorders/>
      <w:shd w:val="clear" w:color="auto" w:fill="fde4d0"/>
    </w:tcPr>
  </w:style>
  <w:style w:type="paragraph" w:styleId="style48">
    <w:name w:val="List Bullet"/>
    <w:basedOn w:val="style0"/>
    <w:next w:val="style48"/>
    <w:pPr>
      <w:spacing w:after="0"/>
    </w:pPr>
    <w:rPr>
      <w:rFonts w:ascii="Times New Roman" w:cs="Times New Roman" w:eastAsia="宋体" w:hAnsi="Times New Roman"/>
      <w:sz w:val="21"/>
    </w:rPr>
  </w:style>
</w:styles>
</file>

<file path=word/_rels/document.xml.rels><?xml version="1.0" encoding="UTF-8"?>
<Relationships xmlns="http://schemas.openxmlformats.org/package/2006/relationships"><Relationship Id="rId1" Type="http://schemas.openxmlformats.org/officeDocument/2006/relationships/numbering" Target="numbering.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11" Type="http://schemas.openxmlformats.org/officeDocument/2006/relationships/theme" Target="theme/theme1.xml"/><Relationship Id="rId10" Type="http://schemas.openxmlformats.org/officeDocument/2006/relationships/settings" Target="settings.xml"/><Relationship Id="rId9" Type="http://schemas.openxmlformats.org/officeDocument/2006/relationships/fontTable" Target="fontTable.xml"/><Relationship Id="rId5" Type="http://schemas.openxmlformats.org/officeDocument/2006/relationships/image" Target="media/image4.png"/><Relationship Id="rId6" Type="http://schemas.openxmlformats.org/officeDocument/2006/relationships/header" Target="header1.xml"/><Relationship Id="rId7" Type="http://schemas.openxmlformats.org/officeDocument/2006/relationships/footer" Target="footer2.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15</TotalTime>
  <Words>8824</Words>
  <Pages>0</Pages>
  <Characters>57259</Characters>
  <Application>WPS Office</Application>
  <DocSecurity>0</DocSecurity>
  <Paragraphs>514</Paragraphs>
  <ScaleCrop>false</ScaleCrop>
  <LinksUpToDate>false</LinksUpToDate>
  <CharactersWithSpaces>65779</CharactersWithSpaces>
  <SharedDoc>false</SharedDoc>
  <HyperlinksChanged>false</HyperlinksChanged>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٢٠٢٥-١١-٢١T١٧:٣١:٥٤Z</dcterms:created>
  <dc:creator>WPS Office</dc:creator>
  <lastModifiedBy>SM-G998U</lastModifiedBy>
  <dcterms:modified xsi:type="dcterms:W3CDTF">٢٠٢٥-١١-٢١T١٧:٣٨:٤٧Z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8f49a5f62eb74947b5440a6caf2bc50a</vt:lpwstr>
  </property>
</Properties>
</file>